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0BCE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CCBC05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ZBEKISTON RESPUBLIKASI</w:t>
      </w:r>
    </w:p>
    <w:p w14:paraId="4E55F205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OLIY TA’LIM, FAN VA INNOVATSIYALAR VAZIRLIGI</w:t>
      </w:r>
    </w:p>
    <w:p w14:paraId="52327A5D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8D25BD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A0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A0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 DAVLAT JAHON TILLARI UNIVERSITETI</w:t>
      </w:r>
    </w:p>
    <w:p w14:paraId="42EDA957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28634D0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1A4F0F8" w14:textId="77777777" w:rsidR="00A035A6" w:rsidRPr="00A035A6" w:rsidRDefault="00A035A6" w:rsidP="00A035A6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T A S D I Q L A Y M A N</w:t>
      </w:r>
    </w:p>
    <w:p w14:paraId="0FBD3908" w14:textId="77777777" w:rsidR="00A035A6" w:rsidRPr="00A035A6" w:rsidRDefault="00A035A6" w:rsidP="00A035A6">
      <w:pPr>
        <w:spacing w:after="0" w:line="276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zbekiston</w:t>
      </w:r>
      <w:proofErr w:type="spell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jahon</w:t>
      </w:r>
      <w:proofErr w:type="spell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tillari</w:t>
      </w:r>
      <w:proofErr w:type="spell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universiteti</w:t>
      </w:r>
      <w:proofErr w:type="spellEnd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rektori</w:t>
      </w:r>
      <w:proofErr w:type="spellEnd"/>
    </w:p>
    <w:p w14:paraId="6941A0B3" w14:textId="77777777" w:rsidR="00A035A6" w:rsidRPr="00A035A6" w:rsidRDefault="00A035A6" w:rsidP="00A035A6">
      <w:pPr>
        <w:spacing w:after="0" w:line="276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proofErr w:type="gramStart"/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M.Tuxtasinov</w:t>
      </w:r>
      <w:proofErr w:type="spellEnd"/>
      <w:proofErr w:type="gramEnd"/>
    </w:p>
    <w:p w14:paraId="15BEE718" w14:textId="77777777" w:rsidR="00A035A6" w:rsidRPr="00A035A6" w:rsidRDefault="00A035A6" w:rsidP="00A035A6">
      <w:pPr>
        <w:spacing w:after="0" w:line="276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035A6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</w:p>
    <w:p w14:paraId="57B4450E" w14:textId="77777777" w:rsidR="00A035A6" w:rsidRPr="00A035A6" w:rsidRDefault="00A035A6" w:rsidP="00A035A6">
      <w:pPr>
        <w:spacing w:after="0" w:line="276" w:lineRule="auto"/>
        <w:ind w:left="4820"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35A6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Pr="00A035A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035A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yil “___” ___________</w:t>
      </w:r>
    </w:p>
    <w:p w14:paraId="39CA12E9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84452E8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02D5517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6261FC9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9E1FFC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03DE8B5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035A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UNIVERSITET TALABALARINING ME’YORIY HUJJATLARINI QABUL QILISH MEZONLARI </w:t>
      </w:r>
      <w:proofErr w:type="gramStart"/>
      <w:r w:rsidRPr="00A0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</w:t>
      </w:r>
      <w:proofErr w:type="gramEnd"/>
      <w:r w:rsidRPr="00A035A6">
        <w:rPr>
          <w:rFonts w:ascii="Times New Roman" w:hAnsi="Times New Roman" w:cs="Times New Roman"/>
          <w:b/>
          <w:bCs/>
          <w:sz w:val="28"/>
          <w:szCs w:val="28"/>
          <w:lang w:val="en-US"/>
        </w:rPr>
        <w:t>G‘RISIDAGI</w:t>
      </w:r>
    </w:p>
    <w:p w14:paraId="0215196F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7D7B35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035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Y </w:t>
      </w:r>
      <w:proofErr w:type="gramStart"/>
      <w:r w:rsidRPr="00A035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O‘ R</w:t>
      </w:r>
      <w:proofErr w:type="gramEnd"/>
      <w:r w:rsidRPr="00A035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I Q N O M A</w:t>
      </w:r>
    </w:p>
    <w:p w14:paraId="2EEC8FD3" w14:textId="77777777" w:rsidR="00A035A6" w:rsidRPr="00A035A6" w:rsidRDefault="00A035A6" w:rsidP="00A035A6">
      <w:pPr>
        <w:spacing w:after="0"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4566DE4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2C28E4F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CDA354E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A3BCB8D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2FCAE60" w14:textId="60F82CFE" w:rsid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BE309B5" w14:textId="3FF831C8" w:rsid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F9A9502" w14:textId="58532EEA" w:rsid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A3BA1E6" w14:textId="2CBEB4B2" w:rsid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B26D6B9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2BA5DA9" w14:textId="77777777" w:rsidR="00A035A6" w:rsidRPr="00A035A6" w:rsidRDefault="00A035A6" w:rsidP="00A035A6">
      <w:pPr>
        <w:spacing w:line="276" w:lineRule="auto"/>
        <w:ind w:firstLine="1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035A6">
        <w:rPr>
          <w:rFonts w:ascii="Times New Roman" w:hAnsi="Times New Roman" w:cs="Times New Roman"/>
          <w:bCs/>
          <w:sz w:val="28"/>
          <w:szCs w:val="28"/>
          <w:lang w:val="uz-Cyrl-UZ"/>
        </w:rPr>
        <w:t>TOSHKENT – 202</w:t>
      </w:r>
      <w:r w:rsidRPr="00A035A6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14:paraId="32A7EC7F" w14:textId="77777777" w:rsidR="00A035A6" w:rsidRDefault="00A035A6" w:rsidP="00A035A6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val="en-US" w:eastAsia="ru-RU"/>
        </w:rPr>
      </w:pPr>
    </w:p>
    <w:p w14:paraId="0D80EB50" w14:textId="77777777" w:rsidR="00B80420" w:rsidRPr="00A035A6" w:rsidRDefault="00B80420" w:rsidP="00B80420">
      <w:pPr>
        <w:tabs>
          <w:tab w:val="center" w:pos="4677"/>
          <w:tab w:val="left" w:pos="557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525B606" w14:textId="77777777" w:rsidR="00A035A6" w:rsidRDefault="00A035A6" w:rsidP="00A035A6">
      <w:pPr>
        <w:pStyle w:val="a3"/>
        <w:tabs>
          <w:tab w:val="center" w:pos="4677"/>
          <w:tab w:val="left" w:pos="5577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</w:p>
    <w:p w14:paraId="25D00281" w14:textId="0C084AAE" w:rsidR="00B80420" w:rsidRPr="00F6060D" w:rsidRDefault="00B80420" w:rsidP="00B80420">
      <w:pPr>
        <w:pStyle w:val="a3"/>
        <w:numPr>
          <w:ilvl w:val="0"/>
          <w:numId w:val="1"/>
        </w:numPr>
        <w:tabs>
          <w:tab w:val="center" w:pos="4677"/>
          <w:tab w:val="left" w:pos="557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UMUMIY QOIDALAR</w:t>
      </w:r>
    </w:p>
    <w:p w14:paraId="37FCC94F" w14:textId="77777777" w:rsidR="00B80420" w:rsidRPr="00F6060D" w:rsidRDefault="00B80420" w:rsidP="00542DC3">
      <w:pPr>
        <w:pStyle w:val="a3"/>
        <w:tabs>
          <w:tab w:val="center" w:pos="4677"/>
          <w:tab w:val="left" w:pos="5577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uz-Cyrl-UZ"/>
        </w:rPr>
      </w:pPr>
    </w:p>
    <w:p w14:paraId="2840D604" w14:textId="3D845668" w:rsidR="00B80420" w:rsidRPr="00F6060D" w:rsidRDefault="00542DC3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Universitetida taxsil oliyotganlarning shaxsiy yigʻma jildlarini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shakllantirish, yuritish va saqlash Tartibi (keyingi oʻrinlarda –Tartib) Oʻz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bekiston davlat jahon tillari universitetining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lokal xujjati hisoblanib, bakalavr, magistr va doktoranlar (keyingi oʻrinlarda- “taxsil oluvchi”) shaxsiy yigʻma jildlarini (keyinga oʻrinlarda – “yigʻima jild” deb yuritiladi) shakllantirish, yuritish va saqlanishiga boʻlgan yagona talablarni belgilaydi.</w:t>
      </w:r>
    </w:p>
    <w:p w14:paraId="5A5F224E" w14:textId="297758DA" w:rsidR="00B80420" w:rsidRPr="00F6060D" w:rsidRDefault="00542DC3" w:rsidP="00542DC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Ushbu tartib Oʻzbekiston 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Respublikasi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Vazirlar Mahkamasining 2017-yil 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             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20-iyundagi 393-son qarori bilan tasdiqlangan “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Oliy ta'lim muassasalarining bakalavriatiga talabalarni oʻqishga qabul qilish tartibi toʻgʻrisida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”gi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Nizom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“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Oliy ta'lim muassasalarining magistraturasiga oʻqishga qabul qilish tartibi toʻgʻrisida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”gi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Nizom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i</w:t>
      </w:r>
      <w:r w:rsidR="000634A3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hamda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Oʻzbekiston Respublikasi Vazirlar Mahkamasining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2008-yil 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                   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4-avgustdagi 169-son qarori bilan tasdiqlangan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“Xorijiy fuqarolarni Oʻzbekiston Respublikasi </w:t>
      </w:r>
      <w:r w:rsidR="00AE6C2C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oliy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ta'lim muassasalariga oʻqishga qabul qilish va oʻqitish tartibini takomillashtirish toʻgʻrisida”gi </w:t>
      </w:r>
      <w:r w:rsidR="000634A3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Nizomlari va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boshqa lokal hujjatlari asosida ishlab chiqilgan.</w:t>
      </w:r>
    </w:p>
    <w:p w14:paraId="0EB3F5C9" w14:textId="35C878ED" w:rsidR="00B80420" w:rsidRPr="00F6060D" w:rsidRDefault="00F6060D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Tartib universitetning barcha tegishli boʻlimlarida qoʻllanilishi va </w:t>
      </w:r>
    </w:p>
    <w:p w14:paraId="28E8E5A1" w14:textId="4D177C7E" w:rsidR="00B80420" w:rsidRPr="00F6060D" w:rsidRDefault="00B80420" w:rsidP="00B804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belgilangan  muddatlarda shakllantirilishi shart.</w:t>
      </w:r>
    </w:p>
    <w:p w14:paraId="09BE2184" w14:textId="30BDDBDE" w:rsidR="00B80420" w:rsidRPr="00F6060D" w:rsidRDefault="00F6060D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1.2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ab/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Yigʻma jilddagi ma'lumotlar taxsil oluvchining shaxsiy ma'lumotlari hisoblanib, maxfiy hisoblanadi.</w:t>
      </w:r>
    </w:p>
    <w:p w14:paraId="5E187821" w14:textId="33007110" w:rsidR="00B80420" w:rsidRPr="00F6060D" w:rsidRDefault="00B80420" w:rsidP="00B8042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Ta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h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sil oluvchining yigʻma jildidan ma'lumot olish huquqiga ega boʻlgan shaxslar quyidagilarga amal qilishlari shart:</w:t>
      </w:r>
    </w:p>
    <w:p w14:paraId="482266ED" w14:textId="6B249918" w:rsidR="000634A3" w:rsidRPr="00F6060D" w:rsidRDefault="00F6060D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634A3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vakolatli organlarning tegishli tartibda rasmiylashtirilgan talablari asosida berilishi mumkin:</w:t>
      </w:r>
    </w:p>
    <w:p w14:paraId="60ACF5E4" w14:textId="495EFAB3" w:rsidR="00750E87" w:rsidRPr="00F6060D" w:rsidRDefault="00F6060D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1.4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ab/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notarius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orqali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tegishli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tartibda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ishonchnoma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rasmiylashtirilgan</w:t>
      </w:r>
      <w:proofErr w:type="spell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</w:t>
      </w:r>
      <w:proofErr w:type="gramEnd"/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lsa</w:t>
      </w:r>
      <w:proofErr w:type="spellEnd"/>
      <w:r w:rsidR="005841CB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107200A5" w14:textId="29E747C7" w:rsidR="00B80420" w:rsidRPr="00F6060D" w:rsidRDefault="00B80420" w:rsidP="00F6060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Barcha ma</w:t>
      </w:r>
      <w:r w:rsidR="005841CB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lumotlar universitet rektori ru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sati asosida taqdim etiladi.</w:t>
      </w:r>
    </w:p>
    <w:p w14:paraId="17D025C8" w14:textId="081C5E08" w:rsidR="00B80420" w:rsidRPr="00F6060D" w:rsidRDefault="00F6060D" w:rsidP="00F6060D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   1.5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Ushbu Tartib talablarini buzgan mas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’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ul xodimlarga nisbatan amaldagi qonunlar bilan belgilangan ta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’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sir choralari qoʻllaniladi (intizomiy, moddiy, ma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’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muriy, fuqaroviy, jinoiy). </w:t>
      </w:r>
    </w:p>
    <w:p w14:paraId="2746224E" w14:textId="28F61ED0" w:rsidR="00B80420" w:rsidRPr="00F6060D" w:rsidRDefault="00F6060D" w:rsidP="00F6060D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   1.6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Ushbu Tartib talablari bajarilishi uchun universitet qabul komissiyasi mas'ul kotibi, 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X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odimlar boʻlimi, 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X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alqaro boʻlim, 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lmiy xodimlar boʻlimi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,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5841CB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Talabalar bilan ishlash bo‘limi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boshliqlari va arxiv mudiri mas'uldirlar.</w:t>
      </w:r>
    </w:p>
    <w:p w14:paraId="7BC844D9" w14:textId="77777777" w:rsidR="00750E87" w:rsidRPr="00E15FB1" w:rsidRDefault="00750E87" w:rsidP="00F6060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z-Cyrl-UZ"/>
        </w:rPr>
      </w:pPr>
    </w:p>
    <w:p w14:paraId="489ED59A" w14:textId="76AE94FB" w:rsidR="00B80420" w:rsidRPr="00F6060D" w:rsidRDefault="00B80420" w:rsidP="00F6060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YIGʻMA JILDLARDAGI HUJJATLAR ROʻYXATI</w:t>
      </w:r>
    </w:p>
    <w:p w14:paraId="10754D2D" w14:textId="77777777" w:rsidR="00B80420" w:rsidRPr="00E15FB1" w:rsidRDefault="00B80420" w:rsidP="00B80420">
      <w:pPr>
        <w:pStyle w:val="a3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z-Cyrl-UZ"/>
        </w:rPr>
      </w:pPr>
    </w:p>
    <w:p w14:paraId="7F1E796E" w14:textId="36975BDB" w:rsidR="00B80420" w:rsidRPr="00F6060D" w:rsidRDefault="00F6060D" w:rsidP="00F6060D">
      <w:pPr>
        <w:spacing w:after="0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2.1.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Yigʻma jild taxsil oluvchiga tegishli boʻlgan ma'lumotlardan iborat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boʻlib, xar bir yigʻma jild alohida papkadan iborat boʻladi.</w:t>
      </w:r>
    </w:p>
    <w:p w14:paraId="4F25791B" w14:textId="26A823A9" w:rsidR="00B80420" w:rsidRPr="00F6060D" w:rsidRDefault="00F6060D" w:rsidP="00F606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2.2 </w:t>
      </w:r>
      <w:r w:rsidR="00F47198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O‘qishga qubul qilingan abituriyetlar 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Yigʻma jild</w:t>
      </w:r>
      <w:r w:rsidR="00F47198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i</w:t>
      </w:r>
      <w:r w:rsidR="00B80420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quyidagi hujjatlardan iborat:</w:t>
      </w:r>
    </w:p>
    <w:p w14:paraId="6E04455F" w14:textId="77777777" w:rsidR="00F47198" w:rsidRPr="00F6060D" w:rsidRDefault="00B80420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 xml:space="preserve">- </w:t>
      </w:r>
      <w:r w:rsidR="00F47198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Ariza to‘ldirish – Abituriyentlarning shaxsiy ma’lumotlari, o‘qishga kirgan o‘quv yili va fakulteti, yo‘nalish nomi hamda ta’lim shakli, telefon raqami va abituriyentga tegishli boshqa ma’lumotlarni o‘z ichiga oladi.</w:t>
      </w:r>
    </w:p>
    <w:p w14:paraId="34E64B18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Shaxsni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tasdiqlovchi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Passport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ID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guvohnoma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nusxasi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01DB9BAF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Fotosurat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3x4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lchamdagi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4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rangli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fotosurat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60F03262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Test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sinovida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ishtirok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ruxsatnoma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ruxsatnomasi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79C9C114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Test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sinovi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natijalarini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tasdiqlovchi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javoblar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varaqasi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tavsiyanoma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4C010730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odingi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ta’lim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ma’lumotlari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tugatgan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kasb-hunar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kolleji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akademik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litsey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diplomining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asl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nusxasi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umumta’lim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maktablarini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2022-yilgacha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bitirgan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abituryentlar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shahodatnomaning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asl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nusxasini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taqdim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2023-yildan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boshlab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maktablarda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shahodatnomaning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elektron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shaklga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tganligi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sababli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shahodatnomaning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nusxasi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91EE3CC" w14:textId="77777777" w:rsidR="005D4361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qishga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kirishda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foydalanilgan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bilish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sertifikati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sertifikat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mavjud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bo‘lsa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nusxasi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14:paraId="1425E605" w14:textId="2F9CB029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Agarda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imtiyozli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huquqlarga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ekanligini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tasdiqlovchi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ota-onasining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nogironligi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nogronligi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mavjud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lsa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1-2-guruh, temir daftar,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xotin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qizlar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ro‘yxati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shunga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o‘xshash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imtiyozlar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0CF5FA41" w14:textId="77777777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grant (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stipendiya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yoki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o‘qish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xarajatlarini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qoplashga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(agar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mavjud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bo‘lsa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14:paraId="581BE9B0" w14:textId="2CBD8E4F" w:rsidR="00F47198" w:rsidRPr="00F6060D" w:rsidRDefault="00F47198" w:rsidP="00F4719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</w:t>
      </w:r>
      <w:r w:rsid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qishini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ko‘chirib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talabalar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Yigʻma jildi quyidagi hujjatlardan iborat:</w:t>
      </w:r>
    </w:p>
    <w:p w14:paraId="4480C5DB" w14:textId="7A9F9B76" w:rsidR="00B80420" w:rsidRPr="00F6060D" w:rsidRDefault="00B80420" w:rsidP="005D436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-test markazi tomonidan tasdiqlangan titul varaqasi;</w:t>
      </w:r>
    </w:p>
    <w:p w14:paraId="1B333355" w14:textId="3268064F" w:rsidR="00B80420" w:rsidRPr="00F6060D" w:rsidRDefault="00B80420" w:rsidP="005D43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-taxsil oluvchiga oid buyruqlardan koʻchirmalar (oʻqishga qabul qilish, kursdan kursga koʻchirish, oʻtkazish, oʻqishdan chetlatish, tiklash, akademik ta'til berish, familiyasini oʻzgartirish va h.k.);</w:t>
      </w:r>
    </w:p>
    <w:p w14:paraId="16451661" w14:textId="5BC6E0B6" w:rsidR="00B80420" w:rsidRPr="00F6060D" w:rsidRDefault="00B80420" w:rsidP="005D43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taxsil oluvchiga oid ma'lumotnomalar, arizalar, jumladan boshqa oʻquv yurtlari tomonidan berilgan akademik ma'lumotnomalar va diplomlar;</w:t>
      </w:r>
    </w:p>
    <w:p w14:paraId="0339A591" w14:textId="2009F2A9" w:rsidR="005D4361" w:rsidRDefault="00B80420" w:rsidP="00B8042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2.3. Yigʻma jildga ilova qilingan asl hujjatlar nusxasi universitet tegishli boʻlimining lavozimi, ismi sharifi, sanasi qoʻyilgan mas'ul xodimi tomonidan imzolanadi va boʻlim muxri bilan muxrlanadi</w:t>
      </w:r>
      <w:r w:rsidR="005D4361" w:rsidRPr="005D436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14:paraId="42476C03" w14:textId="77777777" w:rsidR="005D4361" w:rsidRPr="00F6060D" w:rsidRDefault="005D4361" w:rsidP="00B8042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</w:p>
    <w:p w14:paraId="20680A68" w14:textId="2331574E" w:rsidR="00B80420" w:rsidRDefault="00B80420" w:rsidP="00F6060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S</w:t>
      </w:r>
      <w:r w:rsidR="00750E87"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AXSIY JILDLAR S</w:t>
      </w:r>
      <w:r w:rsidR="00750E87"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AKLLANTIRILIS</w:t>
      </w:r>
      <w:r w:rsidR="00750E87"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I</w:t>
      </w:r>
    </w:p>
    <w:p w14:paraId="36EF1B6F" w14:textId="77777777" w:rsidR="005D4361" w:rsidRPr="00F6060D" w:rsidRDefault="005D4361" w:rsidP="005D4361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</w:p>
    <w:p w14:paraId="5263FFF0" w14:textId="67431906" w:rsidR="00B80420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 xml:space="preserve">Universitetga oʻqishga kirish uchun hujjat topshirgan xar bir abiturientga qabul komissiyasi tomonidan shaxsiy yigʻma jild yuritiladi. Abiturentga hujjatlari qabul qilinganligi toʻgʻrisida til xat taqdim etiladi. </w:t>
      </w:r>
    </w:p>
    <w:p w14:paraId="615E70F4" w14:textId="77777777" w:rsidR="00B80420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Abiturient haqidagi ma'lumotlar qabul komissiyasining elektron bazasiga jorylashtiriladi.  </w:t>
      </w:r>
    </w:p>
    <w:p w14:paraId="7F202783" w14:textId="77777777" w:rsidR="00B80420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Abiturientlar yigʻma jildlari hamda elektron bazasiga kiritilgan ma'lumotlarning toʻliqligi va toʻgʻriligi uchun javobgarligi ta'lim yoʻnalishi boʻyicha mas'ul boʻlgan texnik kotiblar zimmasiga yuklanadi. Mas'ul kotib texnik kotiblar faoliyatini nazorat qiladi.</w:t>
      </w:r>
    </w:p>
    <w:p w14:paraId="3B08E7AA" w14:textId="7CA14E5E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3.</w:t>
      </w:r>
      <w:r w:rsidR="00F6060D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4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 Boshqa oliy ta'lim muassasasidan oʻqishni davom ettirish uchun koʻchirilgan talabalarning yigʻma jildida Tartibning  2.2. bandida koʻrsatilgan hujjatlarga qoʻshimcha quyidagi hujjatlar ilova qilinadi: akademik ma'lumotnoma, reyting daftarchasi nusxasi, talabalar safidan chetlashtirilganligi haqidagi buyruq nusxasi, fanlardagi farqni  (mavjud boʻlgan taqdirda) bartaraf etish uchun berilgan shaxsiy reja.</w:t>
      </w:r>
    </w:p>
    <w:p w14:paraId="6CCDB20E" w14:textId="1B43B819" w:rsidR="00B80420" w:rsidRPr="00F6060D" w:rsidRDefault="00B80420" w:rsidP="005D436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3.</w:t>
      </w:r>
      <w:r w:rsidR="00F6060D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5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 Doktoranlarning yigʻma jildlari ilmiy boʻlim tomonidan shakllantiriladi va quyidagi hujjatilardan iborat boʻladi:</w:t>
      </w:r>
    </w:p>
    <w:p w14:paraId="2A34B4D4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shaxsiy ariza;</w:t>
      </w:r>
    </w:p>
    <w:p w14:paraId="4309F8AA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shaxsni tasdiqlovchi hujjat nusxasi;</w:t>
      </w:r>
    </w:p>
    <w:p w14:paraId="70956ED1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oliy ma'lumot toʻgʻrisidagi diplom nusxasi  ilovasi bilan;</w:t>
      </w:r>
    </w:p>
    <w:p w14:paraId="2FC938B2" w14:textId="054C022C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fotosurat</w:t>
      </w:r>
      <w:r w:rsidR="00AB4F54"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3x4 4-dona</w:t>
      </w: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;</w:t>
      </w:r>
    </w:p>
    <w:p w14:paraId="5590C660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 chop etilgan ilmiy ishlar roʻyxati;</w:t>
      </w:r>
    </w:p>
    <w:p w14:paraId="2E17362E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shaxsiy ish rejasi;</w:t>
      </w:r>
    </w:p>
    <w:p w14:paraId="4B864C5D" w14:textId="4FFC1558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qabul qilish imtixonlariga oid hujjatlardan koʻchirma;</w:t>
      </w:r>
    </w:p>
    <w:p w14:paraId="7A2C7AD3" w14:textId="77777777" w:rsidR="00B80420" w:rsidRPr="00F6060D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 shaxsiy yutuqlari haqidagi hujjatlar.</w:t>
      </w:r>
    </w:p>
    <w:p w14:paraId="62904C34" w14:textId="77777777" w:rsidR="005D4361" w:rsidRPr="005D4361" w:rsidRDefault="005D4361" w:rsidP="005D4361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</w:p>
    <w:p w14:paraId="7E1CB033" w14:textId="36868B07" w:rsidR="00B80420" w:rsidRPr="00F6060D" w:rsidRDefault="00B80420" w:rsidP="00F6060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YIGʻMA JILDLARNI SAQLANIShI</w:t>
      </w:r>
    </w:p>
    <w:p w14:paraId="2DA0904F" w14:textId="128CE5BE" w:rsidR="00B80420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Talabani  universitetda oʻqish davri mobaynida uning shaxsiy  yigʻma jildi talabalar boʻlimida saqlanadi. Barcha taxsil oluvchilarning yigʻma jildlari yuritilishi va saqlanishiga tegishli boʻlimlarning mas'ul xodimlari javobgar hisoblanadi.</w:t>
      </w:r>
    </w:p>
    <w:p w14:paraId="03CD033D" w14:textId="77777777" w:rsidR="00B80420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Taxsil oluvchining shaxsiy yigʻma jildini koʻrish huquqi universitet rektori, oʻquv va ilmiy ishlar boʻyicha prorektorlar, fakultet dekanlari va ularning oʻrinbosarlari, oʻquv boshqarmasi xodimlari, huquqshunos hamda qabul komissiyasi a'zolariga beriladi. </w:t>
      </w:r>
    </w:p>
    <w:p w14:paraId="6B01FB26" w14:textId="42566A89" w:rsidR="00B80420" w:rsidRPr="009B252E" w:rsidRDefault="00B80420" w:rsidP="00B8042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9B252E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Boshqa shaxslarga esa shaxsiy yigʻma jildlar bilan tanishish huquqi oʻquv ishlari boʻyicha prorektor ruhsati bilan amalga oshiriladi. </w:t>
      </w:r>
    </w:p>
    <w:p w14:paraId="460CBF4A" w14:textId="767BFE39" w:rsidR="00B80420" w:rsidRPr="009B252E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9B252E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Shaxsiy jildda saqlanayotgan hujjatlar aslidan nusxa koʻchirish faqat tegishli boʻlim boshligʻi ru</w:t>
      </w:r>
      <w:r w:rsidR="00AB4F54" w:rsidRPr="009B252E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x</w:t>
      </w:r>
      <w:r w:rsidRPr="009B252E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sati bilan yoʻl qoʻyiladi.</w:t>
      </w:r>
    </w:p>
    <w:p w14:paraId="30A899A8" w14:textId="0ED5465B" w:rsidR="00750E87" w:rsidRPr="00F6060D" w:rsidRDefault="00B80420" w:rsidP="00F6060D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9B252E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Oʻqishni davlat granti asosida tugatdan bakalavr va magistrlarga </w:t>
      </w:r>
      <w:r w:rsidRPr="009B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 xml:space="preserve">oliy ma'lumot toʻgʻrisidagi diplomdan koʻchirma beriladi. Ushbu bitiruvchilar  uch yil  </w:t>
      </w:r>
      <w:r w:rsidRPr="009B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lastRenderedPageBreak/>
        <w:t>ishlab bermagunga qadar, ularga diplom asli yoki nusxasi berilmaydi.</w:t>
      </w:r>
      <w:r w:rsidR="00AB4F54" w:rsidRPr="009B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(2024/2025</w:t>
      </w:r>
      <w:r w:rsidR="00AB4F54" w:rsidRPr="00F6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Cyrl-UZ" w:eastAsia="ru-RU"/>
        </w:rPr>
        <w:t>-o‘quv yilidan boshlab o‘qishga kirgan talabalar bundan mustasno).</w:t>
      </w:r>
      <w:r w:rsidR="00750E87" w:rsidRPr="00F6060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14:paraId="26F8BBD8" w14:textId="77777777" w:rsidR="00750E87" w:rsidRPr="00F6060D" w:rsidRDefault="00750E87" w:rsidP="00750E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</w:p>
    <w:p w14:paraId="73F1B4B9" w14:textId="77777777" w:rsidR="00750E87" w:rsidRPr="00F6060D" w:rsidRDefault="00750E87" w:rsidP="00750E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hujjatlarini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vaqtida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to‘liq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topshirishga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mas’uldirlar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74DC1D4" w14:textId="5381324D" w:rsidR="00750E87" w:rsidRDefault="00750E87" w:rsidP="00750E8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Yuqorida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keltirib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tilgan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ma’lumotlar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qabul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tartibi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abituriyentlarning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o‘qishga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qabul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jarayonini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to‘g‘ri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tashkil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qilish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zarurdir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Har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abituriyent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tegishli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bo‘lgan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hujjatlarini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belgilangan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muddatda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kamchiliklarsiz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topshirishi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zarur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Shu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tarzda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proofErr w:type="gram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o‘</w:t>
      </w:r>
      <w:proofErr w:type="gram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qishning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boshlanishi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uchun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barcha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tayyorgarliklar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muvaffaqiyatli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amalga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oshiriladi</w:t>
      </w:r>
      <w:proofErr w:type="spellEnd"/>
      <w:r w:rsidRPr="00F606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E73875F" w14:textId="511D015B" w:rsidR="00F6060D" w:rsidRPr="00F6060D" w:rsidRDefault="00F6060D" w:rsidP="00F6060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C9E296" w14:textId="3C068F3A" w:rsidR="00F6060D" w:rsidRDefault="00F6060D" w:rsidP="00F6060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B80849D" w14:textId="77777777" w:rsidR="00F6060D" w:rsidRPr="00F6060D" w:rsidRDefault="00F6060D" w:rsidP="00F6060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060D">
        <w:rPr>
          <w:rFonts w:ascii="Times New Roman" w:hAnsi="Times New Roman" w:cs="Times New Roman"/>
          <w:b/>
          <w:sz w:val="28"/>
          <w:szCs w:val="28"/>
          <w:lang w:val="en-US"/>
        </w:rPr>
        <w:t>K E L I SH I L D I:</w:t>
      </w:r>
    </w:p>
    <w:tbl>
      <w:tblPr>
        <w:tblW w:w="97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091"/>
        <w:gridCol w:w="2703"/>
        <w:gridCol w:w="2986"/>
      </w:tblGrid>
      <w:tr w:rsidR="00F6060D" w:rsidRPr="00F6060D" w14:paraId="0C7B696E" w14:textId="77777777" w:rsidTr="00D4290D">
        <w:trPr>
          <w:trHeight w:val="586"/>
        </w:trPr>
        <w:tc>
          <w:tcPr>
            <w:tcW w:w="4091" w:type="dxa"/>
            <w:hideMark/>
          </w:tcPr>
          <w:p w14:paraId="1C6C5447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gram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</w:t>
            </w:r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‘</w:t>
            </w:r>
            <w:proofErr w:type="gram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quv ishlari bo‘yicha prorektor</w:t>
            </w:r>
          </w:p>
        </w:tc>
        <w:tc>
          <w:tcPr>
            <w:tcW w:w="2703" w:type="dxa"/>
          </w:tcPr>
          <w:p w14:paraId="02E9E816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14:paraId="6279419F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z-Cyrl-UZ"/>
              </w:rPr>
            </w:pPr>
            <w:r w:rsidRPr="00F6060D">
              <w:rPr>
                <w:rFonts w:ascii="Times New Roman" w:hAnsi="Times New Roman"/>
                <w:sz w:val="28"/>
                <w:szCs w:val="28"/>
                <w:lang w:val="uz-Cyrl-UZ"/>
              </w:rPr>
              <w:t>______________</w:t>
            </w:r>
          </w:p>
        </w:tc>
        <w:tc>
          <w:tcPr>
            <w:tcW w:w="2986" w:type="dxa"/>
          </w:tcPr>
          <w:p w14:paraId="60D7625B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14:paraId="41E515A0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Chutpulatov</w:t>
            </w:r>
            <w:proofErr w:type="spellEnd"/>
          </w:p>
        </w:tc>
      </w:tr>
      <w:tr w:rsidR="00F6060D" w:rsidRPr="00F6060D" w14:paraId="440DDCC8" w14:textId="77777777" w:rsidTr="00D4290D">
        <w:trPr>
          <w:trHeight w:val="900"/>
        </w:trPr>
        <w:tc>
          <w:tcPr>
            <w:tcW w:w="4091" w:type="dxa"/>
            <w:hideMark/>
          </w:tcPr>
          <w:p w14:paraId="75884D51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Inson resurslarini boshqarishbo‘limi boshlig‘i</w:t>
            </w:r>
          </w:p>
        </w:tc>
        <w:tc>
          <w:tcPr>
            <w:tcW w:w="2703" w:type="dxa"/>
            <w:hideMark/>
          </w:tcPr>
          <w:p w14:paraId="090B0AA6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14:paraId="07A43D47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sz w:val="28"/>
                <w:szCs w:val="28"/>
                <w:lang w:val="uz-Cyrl-UZ"/>
              </w:rPr>
              <w:t>______________</w:t>
            </w:r>
          </w:p>
        </w:tc>
        <w:tc>
          <w:tcPr>
            <w:tcW w:w="2986" w:type="dxa"/>
          </w:tcPr>
          <w:p w14:paraId="42CF7E65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D30CBF9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X. </w:t>
            </w:r>
            <w:proofErr w:type="spellStart"/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Musaxonov</w:t>
            </w:r>
            <w:proofErr w:type="spellEnd"/>
          </w:p>
        </w:tc>
      </w:tr>
      <w:tr w:rsidR="00F6060D" w:rsidRPr="00F6060D" w14:paraId="18AF36E0" w14:textId="77777777" w:rsidTr="00D4290D">
        <w:trPr>
          <w:trHeight w:val="794"/>
        </w:trPr>
        <w:tc>
          <w:tcPr>
            <w:tcW w:w="4091" w:type="dxa"/>
            <w:hideMark/>
          </w:tcPr>
          <w:p w14:paraId="62DBCFE0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Talabalar</w:t>
            </w:r>
            <w:proofErr w:type="spell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bilan</w:t>
            </w:r>
            <w:proofErr w:type="spell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ishlash</w:t>
            </w:r>
            <w:proofErr w:type="spell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bo‘</w:t>
            </w:r>
            <w:proofErr w:type="gram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limi</w:t>
            </w:r>
            <w:proofErr w:type="spellEnd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boshlig‘i</w:t>
            </w:r>
            <w:proofErr w:type="spellEnd"/>
          </w:p>
        </w:tc>
        <w:tc>
          <w:tcPr>
            <w:tcW w:w="2703" w:type="dxa"/>
          </w:tcPr>
          <w:p w14:paraId="25C2C1CF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3B91D839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sz w:val="28"/>
                <w:szCs w:val="28"/>
                <w:lang w:val="uz-Cyrl-UZ"/>
              </w:rPr>
              <w:t>______________</w:t>
            </w:r>
          </w:p>
        </w:tc>
        <w:tc>
          <w:tcPr>
            <w:tcW w:w="2986" w:type="dxa"/>
          </w:tcPr>
          <w:p w14:paraId="6520DB1F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38831AFD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proofErr w:type="spellStart"/>
            <w:proofErr w:type="gramStart"/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A.Namazov</w:t>
            </w:r>
            <w:proofErr w:type="spellEnd"/>
            <w:proofErr w:type="gramEnd"/>
          </w:p>
        </w:tc>
      </w:tr>
      <w:tr w:rsidR="00F6060D" w:rsidRPr="00F6060D" w14:paraId="13928A51" w14:textId="77777777" w:rsidTr="00D4290D">
        <w:trPr>
          <w:trHeight w:val="849"/>
        </w:trPr>
        <w:tc>
          <w:tcPr>
            <w:tcW w:w="4091" w:type="dxa"/>
            <w:hideMark/>
          </w:tcPr>
          <w:p w14:paraId="7AC82647" w14:textId="77777777" w:rsidR="00F6060D" w:rsidRDefault="00F6060D" w:rsidP="00F6060D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</w:p>
          <w:p w14:paraId="14D8F67C" w14:textId="64FDE1B1" w:rsidR="00F6060D" w:rsidRPr="00F6060D" w:rsidRDefault="00F6060D" w:rsidP="00F6060D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Huquqshunos</w:t>
            </w:r>
          </w:p>
        </w:tc>
        <w:tc>
          <w:tcPr>
            <w:tcW w:w="2703" w:type="dxa"/>
          </w:tcPr>
          <w:p w14:paraId="6274B4FB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324FFB65" w14:textId="77777777" w:rsidR="00F6060D" w:rsidRPr="00F6060D" w:rsidRDefault="00F6060D" w:rsidP="00D4290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sz w:val="28"/>
                <w:szCs w:val="28"/>
                <w:lang w:val="uz-Cyrl-UZ"/>
              </w:rPr>
              <w:t>______________</w:t>
            </w:r>
          </w:p>
        </w:tc>
        <w:tc>
          <w:tcPr>
            <w:tcW w:w="2986" w:type="dxa"/>
          </w:tcPr>
          <w:p w14:paraId="416C0EFC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14:paraId="6987A359" w14:textId="77777777" w:rsidR="00F6060D" w:rsidRPr="00F6060D" w:rsidRDefault="00F6060D" w:rsidP="00D4290D">
            <w:pPr>
              <w:pStyle w:val="a5"/>
              <w:spacing w:line="276" w:lineRule="auto"/>
              <w:ind w:left="9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F. </w:t>
            </w:r>
            <w:proofErr w:type="spellStart"/>
            <w:r w:rsidRPr="00F606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Mirzayev</w:t>
            </w:r>
            <w:proofErr w:type="spellEnd"/>
          </w:p>
        </w:tc>
      </w:tr>
    </w:tbl>
    <w:p w14:paraId="77D0F800" w14:textId="77777777" w:rsidR="00F6060D" w:rsidRPr="00F6060D" w:rsidRDefault="00F6060D" w:rsidP="00F606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B16BC6" w14:textId="77777777" w:rsidR="00F6060D" w:rsidRPr="00F6060D" w:rsidRDefault="00F6060D" w:rsidP="00F6060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60D" w:rsidRPr="00F6060D" w:rsidSect="00132FCE">
      <w:headerReference w:type="default" r:id="rId7"/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D5B1" w14:textId="77777777" w:rsidR="00462BDD" w:rsidRDefault="00462BDD">
      <w:pPr>
        <w:spacing w:after="0" w:line="240" w:lineRule="auto"/>
      </w:pPr>
      <w:r>
        <w:separator/>
      </w:r>
    </w:p>
  </w:endnote>
  <w:endnote w:type="continuationSeparator" w:id="0">
    <w:p w14:paraId="2624B204" w14:textId="77777777" w:rsidR="00462BDD" w:rsidRDefault="0046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977A" w14:textId="77777777" w:rsidR="002918AE" w:rsidRDefault="00291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BE8F" w14:textId="77777777" w:rsidR="00462BDD" w:rsidRDefault="00462BDD">
      <w:pPr>
        <w:spacing w:after="0" w:line="240" w:lineRule="auto"/>
      </w:pPr>
      <w:r>
        <w:separator/>
      </w:r>
    </w:p>
  </w:footnote>
  <w:footnote w:type="continuationSeparator" w:id="0">
    <w:p w14:paraId="0F3D6F4D" w14:textId="77777777" w:rsidR="00462BDD" w:rsidRDefault="0046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0236" w14:textId="77777777" w:rsidR="002918AE" w:rsidRDefault="002918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44E"/>
    <w:multiLevelType w:val="multilevel"/>
    <w:tmpl w:val="12FC8A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BA4288"/>
    <w:multiLevelType w:val="multilevel"/>
    <w:tmpl w:val="53DEE2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38047DA"/>
    <w:multiLevelType w:val="multilevel"/>
    <w:tmpl w:val="1D6AD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B34EF6"/>
    <w:multiLevelType w:val="hybridMultilevel"/>
    <w:tmpl w:val="C0FACBC6"/>
    <w:lvl w:ilvl="0" w:tplc="E1F889E0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31120B"/>
    <w:multiLevelType w:val="multilevel"/>
    <w:tmpl w:val="1D6AD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20"/>
    <w:rsid w:val="000634A3"/>
    <w:rsid w:val="002918AE"/>
    <w:rsid w:val="002B2F98"/>
    <w:rsid w:val="00301D7F"/>
    <w:rsid w:val="0035587D"/>
    <w:rsid w:val="003C5AB5"/>
    <w:rsid w:val="00462BDD"/>
    <w:rsid w:val="00542DC3"/>
    <w:rsid w:val="005841CB"/>
    <w:rsid w:val="005D4361"/>
    <w:rsid w:val="00750E87"/>
    <w:rsid w:val="009B252E"/>
    <w:rsid w:val="00A035A6"/>
    <w:rsid w:val="00AB4F54"/>
    <w:rsid w:val="00AE6C2C"/>
    <w:rsid w:val="00B80420"/>
    <w:rsid w:val="00E15FB1"/>
    <w:rsid w:val="00E62A05"/>
    <w:rsid w:val="00EF7630"/>
    <w:rsid w:val="00F47198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37C7"/>
  <w15:chartTrackingRefBased/>
  <w15:docId w15:val="{514A289C-6456-4E5E-9744-475C81E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20"/>
    <w:pPr>
      <w:ind w:left="720"/>
      <w:contextualSpacing/>
    </w:pPr>
  </w:style>
  <w:style w:type="table" w:styleId="a4">
    <w:name w:val="Table Grid"/>
    <w:basedOn w:val="a1"/>
    <w:uiPriority w:val="39"/>
    <w:rsid w:val="00B8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60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2024-12-26T07:05:00Z</dcterms:created>
  <dcterms:modified xsi:type="dcterms:W3CDTF">2024-12-27T06:33:00Z</dcterms:modified>
</cp:coreProperties>
</file>