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3EE2" w:rsidRDefault="00703EE2" w:rsidP="00703EE2">
      <w:pPr>
        <w:spacing w:after="0" w:line="276" w:lineRule="auto"/>
        <w:ind w:firstLine="709"/>
        <w:contextualSpacing/>
        <w:jc w:val="both"/>
        <w:rPr>
          <w:rFonts w:ascii="Times New Roman" w:hAnsi="Times New Roman" w:cs="Times New Roman"/>
          <w:b/>
          <w:bCs/>
          <w:sz w:val="24"/>
          <w:szCs w:val="24"/>
          <w:lang w:val="en-US"/>
        </w:rPr>
      </w:pPr>
      <w:r w:rsidRPr="00703EE2">
        <w:rPr>
          <w:rFonts w:ascii="Times New Roman" w:hAnsi="Times New Roman" w:cs="Times New Roman"/>
          <w:b/>
          <w:bCs/>
          <w:sz w:val="24"/>
          <w:szCs w:val="24"/>
          <w:lang w:val="en-US"/>
        </w:rPr>
        <w:t xml:space="preserve">5. </w:t>
      </w:r>
      <w:r w:rsidRPr="00703EE2">
        <w:rPr>
          <w:rFonts w:ascii="Times New Roman" w:hAnsi="Times New Roman" w:cs="Times New Roman"/>
          <w:b/>
          <w:bCs/>
          <w:sz w:val="24"/>
          <w:szCs w:val="24"/>
          <w:lang w:val="en-US"/>
        </w:rPr>
        <w:t>Technology and Digital Resources</w:t>
      </w:r>
    </w:p>
    <w:p w:rsidR="00703EE2" w:rsidRPr="00703EE2" w:rsidRDefault="00703EE2" w:rsidP="00703EE2">
      <w:pPr>
        <w:spacing w:after="0" w:line="276" w:lineRule="auto"/>
        <w:ind w:firstLine="709"/>
        <w:contextualSpacing/>
        <w:jc w:val="both"/>
        <w:rPr>
          <w:rFonts w:ascii="Times New Roman" w:hAnsi="Times New Roman" w:cs="Times New Roman"/>
          <w:b/>
          <w:bCs/>
          <w:sz w:val="24"/>
          <w:szCs w:val="24"/>
          <w:lang w:val="en-US"/>
        </w:rPr>
      </w:pPr>
      <w:r w:rsidRPr="00703EE2">
        <w:rPr>
          <w:rFonts w:ascii="Times New Roman" w:hAnsi="Times New Roman" w:cs="Times New Roman"/>
          <w:b/>
          <w:bCs/>
          <w:sz w:val="24"/>
          <w:szCs w:val="24"/>
          <w:lang w:val="en-US"/>
        </w:rPr>
        <w:t xml:space="preserve">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The University ensures the provision of modern technological and digital resources that are required to prepare students to current cyber era. There are specially equipped IT rooms with innovative educational tools to realize both offline and online modes of study in the University. Technology has become an inseparable part of teaching and learning at the University. The University provides different training, workshops to improve technological proficiency and enable effective incorporation of digital tools into teaching methodologies. The number of computers in the university is 1436, of which: for students - 696, departments and administration - 740, video projectors - 70, interactive whiteboard - 4, interactive panel - 9, info kiosk - 5, electronic board - 7, number of cameras - 220, number of televisions - 288 devices.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Technology is used differently in the classroom to enhance teaching and learning outcomes across a range of subjects. HEMIS (Higher Education Management Information System - https://hemis.uz/) is a system used at the University to collect, manage and </w:t>
      </w:r>
      <w:proofErr w:type="spellStart"/>
      <w:r w:rsidRPr="00703EE2">
        <w:rPr>
          <w:rFonts w:ascii="Times New Roman" w:hAnsi="Times New Roman" w:cs="Times New Roman"/>
          <w:sz w:val="24"/>
          <w:szCs w:val="24"/>
          <w:lang w:val="en-US"/>
        </w:rPr>
        <w:t>analyse</w:t>
      </w:r>
      <w:proofErr w:type="spellEnd"/>
      <w:r w:rsidRPr="00703EE2">
        <w:rPr>
          <w:rFonts w:ascii="Times New Roman" w:hAnsi="Times New Roman" w:cs="Times New Roman"/>
          <w:sz w:val="24"/>
          <w:szCs w:val="24"/>
          <w:lang w:val="en-US"/>
        </w:rPr>
        <w:t xml:space="preserve"> data related to higher education institutions, students, faculty, and academic programs. It is designed to provide comprehensive and accurate information for planning, decision-making, policy formulation, and monitoring the performance of higher education institutions (https://hemis.uz/yoriqnoma/). </w:t>
      </w:r>
    </w:p>
    <w:p w:rsidR="00703EE2" w:rsidRPr="00703EE2" w:rsidRDefault="00703EE2" w:rsidP="00703EE2">
      <w:pPr>
        <w:spacing w:after="0" w:line="276" w:lineRule="auto"/>
        <w:ind w:firstLine="708"/>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Multimedia Presentations: At Uzbekistan State World Language University most open-access educational technology is allowed to use by following ethical norms, and they enable the creation and delivery of multimedia presentations, incorporating visual aids, videos, and interactive elements to make complex concepts more engaging and understandable for staff and students. (https://hemis.uz/yoriqnoma/fan-topshiriq.php)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Online Collaboration and Communication: Technology facilitates online collaboration platforms, allowing students to work together on projects, share ideas, and communicate with peers and instructors beyond the confines of the physical classroom.</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Personalized Learning: Adaptive learning technologies can tailor instructional content and pace to individual students' needs, providing personalized learning experiences that cater to different learning styles and abilities.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Access to Digital Resources: The University Library provides easy access to digital libraries, research databases, and online resources, enabling students to explore a wide range of academic materials, conduct research, and expand their knowledge in various subjects.</w:t>
      </w:r>
    </w:p>
    <w:p w:rsidR="00703EE2" w:rsidRPr="00703EE2" w:rsidRDefault="00703EE2" w:rsidP="00BD5969">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Online Assessments and Feedback: HEMIS allows for the implementation of online assessments, automated grading, and immediate feedback, enabling students to receive prompt evaluation and support their learning progress.</w:t>
      </w:r>
      <w:r w:rsidR="00BD5969">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ab/>
        <w:t xml:space="preserve">The University provides digital resources and technology to students and faculty, but access varies by department. The establishment of a </w:t>
      </w:r>
      <w:proofErr w:type="spellStart"/>
      <w:r w:rsidRPr="00703EE2">
        <w:rPr>
          <w:rFonts w:ascii="Times New Roman" w:hAnsi="Times New Roman" w:cs="Times New Roman"/>
          <w:sz w:val="24"/>
          <w:szCs w:val="24"/>
          <w:lang w:val="en-US"/>
        </w:rPr>
        <w:t>centre</w:t>
      </w:r>
      <w:proofErr w:type="spellEnd"/>
      <w:r w:rsidRPr="00703EE2">
        <w:rPr>
          <w:rFonts w:ascii="Times New Roman" w:hAnsi="Times New Roman" w:cs="Times New Roman"/>
          <w:sz w:val="24"/>
          <w:szCs w:val="24"/>
          <w:lang w:val="en-US"/>
        </w:rPr>
        <w:t xml:space="preserve"> for digital educational technologies shows a commitment to providing comprehensive support and resources for using technology effectively. Efforts are made to ensure access to digital learning platforms, research databases including:</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 Web of Science https://www.webofscience.com,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 Springer Nature https://link.springer.com/,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EBSCOhost Research Platform (https://search.ebscohost.com/),</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Pivot-RP (https://pivot.proquest.com/), instructional software, and online libraries for both students and faculty.</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The Information Resource Centre (</w:t>
      </w:r>
      <w:hyperlink r:id="rId5" w:history="1">
        <w:r w:rsidR="00BD5969" w:rsidRPr="000139B4">
          <w:rPr>
            <w:rStyle w:val="a5"/>
            <w:rFonts w:ascii="Times New Roman" w:hAnsi="Times New Roman" w:cs="Times New Roman"/>
            <w:sz w:val="24"/>
            <w:szCs w:val="24"/>
            <w:lang w:val="en-US"/>
          </w:rPr>
          <w:t>https://uzlib.uz/</w:t>
        </w:r>
      </w:hyperlink>
      <w:r w:rsidRPr="00703EE2">
        <w:rPr>
          <w:rFonts w:ascii="Times New Roman" w:hAnsi="Times New Roman" w:cs="Times New Roman"/>
          <w:sz w:val="24"/>
          <w:szCs w:val="24"/>
          <w:lang w:val="en-US"/>
        </w:rPr>
        <w:t>)</w:t>
      </w:r>
      <w:r w:rsidR="00BD5969">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 xml:space="preserve"> has 597,496 copies of books, journals and magazines: There are 119,674 textbooks, 178,448 copies of educational manuals, 30,647 copies of scientific literature, 116,258 copies of fiction, and 152,469 copies of additional literature.</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lastRenderedPageBreak/>
        <w:t>- By languages: 153594 books and journals in Uzbek and 443902 in foreign languages.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For 2024, 304 copies of 44 titles have been subscribed to the periodical press publications of the Republic.</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There are 516 copies of candidacy and doctoral theses and 2818 copies of abstracts defended in our republic from 1952 to this day.</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electronic copies of literature in 1,100 titles and IRBIS 64 electronic catalogue with a description of literature in 50,000 titles have been made available; 85 titles of audio and 149 copies of Louis Braille literature with audio discs for blind and visually impaired students.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Serves 23,858 readers: 22,162 students, 1,006 professors, 690 employees.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 Information resource </w:t>
      </w:r>
      <w:proofErr w:type="spellStart"/>
      <w:r w:rsidRPr="00703EE2">
        <w:rPr>
          <w:rFonts w:ascii="Times New Roman" w:hAnsi="Times New Roman" w:cs="Times New Roman"/>
          <w:sz w:val="24"/>
          <w:szCs w:val="24"/>
          <w:lang w:val="en-US"/>
        </w:rPr>
        <w:t>centre</w:t>
      </w:r>
      <w:proofErr w:type="spellEnd"/>
      <w:r w:rsidRPr="00703EE2">
        <w:rPr>
          <w:rFonts w:ascii="Times New Roman" w:hAnsi="Times New Roman" w:cs="Times New Roman"/>
          <w:sz w:val="24"/>
          <w:szCs w:val="24"/>
          <w:lang w:val="en-US"/>
        </w:rPr>
        <w:t xml:space="preserve"> (ARM) provides literature for home use to readers with their subscriptions in 4 regions of the city;</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- 1,2,3,4, - ARM study halls operate in student residences.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The Information Resource Centre has 6 classrooms with 700 seats with an open fund containing 40,767 copies of literature.</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- 5 electronic libraries with 111 seats equipped with modern computers are operating;</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- 2 discussion rooms with 10 seats for strengthening foreign language knowledge and language skills.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a 36-seat conference hall with facilities for holding interesting events and trainings, such as meetings, presentations, and discussion of works, dedicated to important dates and the life and work of famous people, creating opportunities for students' spiritual rich and well-rounded creative growth;</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Korea Corner study hall with all amenities and 532 copies of literature promoting Korean culture and learning Korean language among students, organized in cooperation with the Embassy of the Republic of Korea in the Republic of Uzbekistan.</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 the website of the information resource </w:t>
      </w:r>
      <w:proofErr w:type="spellStart"/>
      <w:r w:rsidRPr="00703EE2">
        <w:rPr>
          <w:rFonts w:ascii="Times New Roman" w:hAnsi="Times New Roman" w:cs="Times New Roman"/>
          <w:sz w:val="24"/>
          <w:szCs w:val="24"/>
          <w:lang w:val="en-US"/>
        </w:rPr>
        <w:t>centre</w:t>
      </w:r>
      <w:proofErr w:type="spellEnd"/>
      <w:r w:rsidRPr="00703EE2">
        <w:rPr>
          <w:rFonts w:ascii="Times New Roman" w:hAnsi="Times New Roman" w:cs="Times New Roman"/>
          <w:sz w:val="24"/>
          <w:szCs w:val="24"/>
          <w:lang w:val="en-US"/>
        </w:rPr>
        <w:t xml:space="preserve"> https://uzlib.uz/ and the official channel "Telegram" https://t.me/uzlibuz operate to facilitate users and provide remote services.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Residents are provided with all services, except for taking home literature;</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 The Information Resource Centre is open Monday through Friday from 8:30 a.m. to 10:00 p.m. and on Saturdays from 8:30 a.m. to 5:00 p.m.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In meeting quality requirements, Uzbekistan State World Languages University ensures that technology and digital resources within academia encompass a robust infrastructure. This infrastructure enables seamless access to diverse digital libraries, cutting-edge research databases, interactive learning management systems, and innovative educational tools. Faculty and students receive comprehensive training and support to effectively utilize these resources. Security of information and data is provided by the Ministry of Higher Education, Science, and Innovation, and it is measured to ensure data protection. Moreover, all the informative technologies are integrated into the curriculum, fostering inclusive, engaging, and adaptable learning experiences for all.</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The professional development for technology use is distributed among faculty members. The center's objectives include organizing free computer courses for professors, employees, and students based on demand. This shows a commitment to providing training, workshops, and resources to improve technological proficiency and enable effective incorporation of digital tools into teaching methodologies. In this process, the IT department schedules free courses, seminars, and webinars.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The university’s objectives include conducting scientific research in cooperation with educational institutions and information technology research </w:t>
      </w:r>
      <w:proofErr w:type="spellStart"/>
      <w:r w:rsidRPr="00703EE2">
        <w:rPr>
          <w:rFonts w:ascii="Times New Roman" w:hAnsi="Times New Roman" w:cs="Times New Roman"/>
          <w:sz w:val="24"/>
          <w:szCs w:val="24"/>
          <w:lang w:val="en-US"/>
        </w:rPr>
        <w:t>centres</w:t>
      </w:r>
      <w:proofErr w:type="spellEnd"/>
      <w:r w:rsidRPr="00703EE2">
        <w:rPr>
          <w:rFonts w:ascii="Times New Roman" w:hAnsi="Times New Roman" w:cs="Times New Roman"/>
          <w:sz w:val="24"/>
          <w:szCs w:val="24"/>
          <w:lang w:val="en-US"/>
        </w:rPr>
        <w:t xml:space="preserve">, as well as establishing </w:t>
      </w:r>
      <w:r w:rsidRPr="00703EE2">
        <w:rPr>
          <w:rFonts w:ascii="Times New Roman" w:hAnsi="Times New Roman" w:cs="Times New Roman"/>
          <w:sz w:val="24"/>
          <w:szCs w:val="24"/>
          <w:lang w:val="en-US"/>
        </w:rPr>
        <w:lastRenderedPageBreak/>
        <w:t>communication with foreign higher education institutions using the Internet and online networking. These initiatives imply a potential for fostering innovation and exploring emerging technologies, such as virtual reality, augmented reality, adaptive learning tools, and other innovative digital resources, to enhance the learning experience. For example, in the classes, in addition to the HEMIS, there are other educational tools and technologies, and they are taught/used across the departments and faculties. The broadly used ones are:</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w:t>
      </w:r>
      <w:r w:rsidRPr="00703EE2">
        <w:rPr>
          <w:rFonts w:ascii="Times New Roman" w:hAnsi="Times New Roman" w:cs="Times New Roman"/>
          <w:sz w:val="24"/>
          <w:szCs w:val="24"/>
          <w:lang w:val="en-US"/>
        </w:rPr>
        <w:tab/>
        <w:t xml:space="preserve">“Khan Academy” </w:t>
      </w:r>
      <w:hyperlink r:id="rId6" w:history="1">
        <w:r w:rsidR="00BD5969" w:rsidRPr="000139B4">
          <w:rPr>
            <w:rStyle w:val="a5"/>
            <w:rFonts w:ascii="Times New Roman" w:hAnsi="Times New Roman" w:cs="Times New Roman"/>
            <w:sz w:val="24"/>
            <w:szCs w:val="24"/>
            <w:lang w:val="en-US"/>
          </w:rPr>
          <w:t>https://uz.khanacademy.org/</w:t>
        </w:r>
      </w:hyperlink>
      <w:r w:rsidR="00BD5969">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w:t>
      </w:r>
      <w:r w:rsidRPr="00703EE2">
        <w:rPr>
          <w:rFonts w:ascii="Times New Roman" w:hAnsi="Times New Roman" w:cs="Times New Roman"/>
          <w:sz w:val="24"/>
          <w:szCs w:val="24"/>
          <w:lang w:val="en-US"/>
        </w:rPr>
        <w:tab/>
        <w:t xml:space="preserve">“Coursera” </w:t>
      </w:r>
      <w:hyperlink r:id="rId7" w:history="1">
        <w:r w:rsidR="00BD5969" w:rsidRPr="000139B4">
          <w:rPr>
            <w:rStyle w:val="a5"/>
            <w:rFonts w:ascii="Times New Roman" w:hAnsi="Times New Roman" w:cs="Times New Roman"/>
            <w:sz w:val="24"/>
            <w:szCs w:val="24"/>
            <w:lang w:val="en-US"/>
          </w:rPr>
          <w:t>https://www.coursera.org/programs/uzbek-state-university-of-world-languages-learning-program-iendn</w:t>
        </w:r>
      </w:hyperlink>
      <w:r w:rsidR="00BD5969">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w:t>
      </w:r>
      <w:r w:rsidRPr="00703EE2">
        <w:rPr>
          <w:rFonts w:ascii="Times New Roman" w:hAnsi="Times New Roman" w:cs="Times New Roman"/>
          <w:sz w:val="24"/>
          <w:szCs w:val="24"/>
          <w:lang w:val="en-US"/>
        </w:rPr>
        <w:tab/>
        <w:t xml:space="preserve"> “</w:t>
      </w:r>
      <w:proofErr w:type="spellStart"/>
      <w:r w:rsidRPr="00703EE2">
        <w:rPr>
          <w:rFonts w:ascii="Times New Roman" w:hAnsi="Times New Roman" w:cs="Times New Roman"/>
          <w:sz w:val="24"/>
          <w:szCs w:val="24"/>
          <w:lang w:val="en-US"/>
        </w:rPr>
        <w:t>FutureLearn</w:t>
      </w:r>
      <w:proofErr w:type="spellEnd"/>
      <w:r w:rsidRPr="00703EE2">
        <w:rPr>
          <w:rFonts w:ascii="Times New Roman" w:hAnsi="Times New Roman" w:cs="Times New Roman"/>
          <w:sz w:val="24"/>
          <w:szCs w:val="24"/>
          <w:lang w:val="en-US"/>
        </w:rPr>
        <w:t>” (</w:t>
      </w:r>
      <w:hyperlink r:id="rId8" w:history="1">
        <w:r w:rsidRPr="000139B4">
          <w:rPr>
            <w:rStyle w:val="a5"/>
            <w:rFonts w:ascii="Times New Roman" w:hAnsi="Times New Roman" w:cs="Times New Roman"/>
            <w:sz w:val="24"/>
            <w:szCs w:val="24"/>
            <w:lang w:val="en-US"/>
          </w:rPr>
          <w:t>https://www.futurelearn.com/</w:t>
        </w:r>
      </w:hyperlink>
      <w:r w:rsidRPr="00703E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w:t>
      </w:r>
      <w:r w:rsidRPr="00703EE2">
        <w:rPr>
          <w:rFonts w:ascii="Times New Roman" w:hAnsi="Times New Roman" w:cs="Times New Roman"/>
          <w:sz w:val="24"/>
          <w:szCs w:val="24"/>
          <w:lang w:val="en-US"/>
        </w:rPr>
        <w:tab/>
        <w:t xml:space="preserve"> “Google Classroom” (</w:t>
      </w:r>
      <w:hyperlink r:id="rId9" w:history="1">
        <w:r w:rsidRPr="000139B4">
          <w:rPr>
            <w:rStyle w:val="a5"/>
            <w:rFonts w:ascii="Times New Roman" w:hAnsi="Times New Roman" w:cs="Times New Roman"/>
            <w:sz w:val="24"/>
            <w:szCs w:val="24"/>
            <w:lang w:val="en-US"/>
          </w:rPr>
          <w:t>https://classroom.google.com/</w:t>
        </w:r>
      </w:hyperlink>
      <w:proofErr w:type="gramStart"/>
      <w:r w:rsidRPr="00703E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w:t>
      </w:r>
      <w:proofErr w:type="gramEnd"/>
      <w:r w:rsidRPr="00703EE2">
        <w:rPr>
          <w:rFonts w:ascii="Times New Roman" w:hAnsi="Times New Roman" w:cs="Times New Roman"/>
          <w:sz w:val="24"/>
          <w:szCs w:val="24"/>
          <w:lang w:val="en-US"/>
        </w:rPr>
        <w:t xml:space="preserve"> </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They are the online platforms and technologies for learning and encouraging learning autonomy. These online learning platforms offer a wide range of video lessons, practice exercises, and personalized learning tools across various subjects. Also, in these leading online learning platforms, there are free courses from universities and organizations to offer massive open online courses (MOOCs) and specialized courses in a wide range of disciplines. Both teachers and students use Google Classroom. It is a learning management system that facilitates the distribution of assignments, communication, and collaboration among teachers and students within the Google Suite ecosystem with the help of gadgets and various devices.</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 xml:space="preserve">The HEMIS is widely integrated into the assessment. All the assignments including Mid-term examinations and Final examinations are conducted by using the HEMIS system. All the information such as feedback and marks </w:t>
      </w:r>
      <w:proofErr w:type="gramStart"/>
      <w:r w:rsidRPr="00703EE2">
        <w:rPr>
          <w:rFonts w:ascii="Times New Roman" w:hAnsi="Times New Roman" w:cs="Times New Roman"/>
          <w:sz w:val="24"/>
          <w:szCs w:val="24"/>
          <w:lang w:val="en-US"/>
        </w:rPr>
        <w:t>is</w:t>
      </w:r>
      <w:proofErr w:type="gramEnd"/>
      <w:r w:rsidRPr="00703EE2">
        <w:rPr>
          <w:rFonts w:ascii="Times New Roman" w:hAnsi="Times New Roman" w:cs="Times New Roman"/>
          <w:sz w:val="24"/>
          <w:szCs w:val="24"/>
          <w:lang w:val="en-US"/>
        </w:rPr>
        <w:t xml:space="preserve"> provided only by HEMIS by following the examination schedules. HEMIS (</w:t>
      </w:r>
      <w:hyperlink r:id="rId10" w:history="1">
        <w:r w:rsidRPr="000139B4">
          <w:rPr>
            <w:rStyle w:val="a5"/>
            <w:rFonts w:ascii="Times New Roman" w:hAnsi="Times New Roman" w:cs="Times New Roman"/>
            <w:sz w:val="24"/>
            <w:szCs w:val="24"/>
            <w:lang w:val="en-US"/>
          </w:rPr>
          <w:t>https://hemis.uz/yoriqnoma/fan-topshiriq.php</w:t>
        </w:r>
      </w:hyperlink>
      <w:r w:rsidRPr="00703E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 xml:space="preserve"> is a system used in Uzbekistan's higher education sector to collect, manage, and </w:t>
      </w:r>
      <w:proofErr w:type="spellStart"/>
      <w:r w:rsidRPr="00703EE2">
        <w:rPr>
          <w:rFonts w:ascii="Times New Roman" w:hAnsi="Times New Roman" w:cs="Times New Roman"/>
          <w:sz w:val="24"/>
          <w:szCs w:val="24"/>
          <w:lang w:val="en-US"/>
        </w:rPr>
        <w:t>analyse</w:t>
      </w:r>
      <w:proofErr w:type="spellEnd"/>
      <w:r w:rsidRPr="00703EE2">
        <w:rPr>
          <w:rFonts w:ascii="Times New Roman" w:hAnsi="Times New Roman" w:cs="Times New Roman"/>
          <w:sz w:val="24"/>
          <w:szCs w:val="24"/>
          <w:lang w:val="en-US"/>
        </w:rPr>
        <w:t xml:space="preserve"> data related to higher education institutions, students, faculty, and academic programs. It is designed to provide comprehensive and accurate information for planning, decision-making, policy formulation, and monitoring the performance of higher education institutions. To ensure the implementation of paragraph 23 of the statement No. 34 of the video selector meeting held on June 16, 2021, under the leadership of the President of the Republic of Uzbekistan Sh. </w:t>
      </w:r>
      <w:proofErr w:type="spellStart"/>
      <w:r w:rsidRPr="00703EE2">
        <w:rPr>
          <w:rFonts w:ascii="Times New Roman" w:hAnsi="Times New Roman" w:cs="Times New Roman"/>
          <w:sz w:val="24"/>
          <w:szCs w:val="24"/>
          <w:lang w:val="en-US"/>
        </w:rPr>
        <w:t>Mirziyoyev</w:t>
      </w:r>
      <w:proofErr w:type="spellEnd"/>
      <w:r w:rsidRPr="00703EE2">
        <w:rPr>
          <w:rFonts w:ascii="Times New Roman" w:hAnsi="Times New Roman" w:cs="Times New Roman"/>
          <w:sz w:val="24"/>
          <w:szCs w:val="24"/>
          <w:lang w:val="en-US"/>
        </w:rPr>
        <w:t>, "On the effectiveness of reforms in the field of higher education and the processes of preparation for the new academic year" and the decision of the Ministry of Higher and Secondary Special Education dated August 26, 2021 Internal order No. 373 of September 6, 2021 of our university was issued to the order of the Minister of Higher and Secondary Special Education of the Republic of Uzbekistan on the implementation of the "Management of Higher Education Processes - HEMIS" information system in higher education institutions to ensure the order No. 372 (</w:t>
      </w:r>
      <w:hyperlink r:id="rId11" w:history="1">
        <w:r w:rsidRPr="000139B4">
          <w:rPr>
            <w:rStyle w:val="a5"/>
            <w:rFonts w:ascii="Times New Roman" w:hAnsi="Times New Roman" w:cs="Times New Roman"/>
            <w:sz w:val="24"/>
            <w:szCs w:val="24"/>
            <w:lang w:val="en-US"/>
          </w:rPr>
          <w:t>https://uzswlu.uz/talimning-kredit-tizimini-boshqarish-bolimi</w:t>
        </w:r>
      </w:hyperlink>
      <w:r w:rsidRPr="00703E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w:t>
      </w:r>
    </w:p>
    <w:p w:rsidR="00703EE2" w:rsidRPr="00703EE2" w:rsidRDefault="00703EE2" w:rsidP="00703EE2">
      <w:pPr>
        <w:spacing w:after="0" w:line="276" w:lineRule="auto"/>
        <w:ind w:firstLine="709"/>
        <w:contextualSpacing/>
        <w:jc w:val="both"/>
        <w:rPr>
          <w:rFonts w:ascii="Times New Roman" w:hAnsi="Times New Roman" w:cs="Times New Roman"/>
          <w:sz w:val="24"/>
          <w:szCs w:val="24"/>
          <w:lang w:val="en-US"/>
        </w:rPr>
      </w:pPr>
      <w:r w:rsidRPr="00703EE2">
        <w:rPr>
          <w:rFonts w:ascii="Times New Roman" w:hAnsi="Times New Roman" w:cs="Times New Roman"/>
          <w:sz w:val="24"/>
          <w:szCs w:val="24"/>
          <w:lang w:val="en-US"/>
        </w:rPr>
        <w:t>In meeting quality requirements, technology and digital resources within academia encompass a robust infrastructure enabling seamless access to diverse digital libraries, cutting-edge research databases, interactive learning management systems, and innovative educational tools (</w:t>
      </w:r>
      <w:hyperlink r:id="rId12" w:history="1">
        <w:r w:rsidRPr="000139B4">
          <w:rPr>
            <w:rStyle w:val="a5"/>
            <w:rFonts w:ascii="Times New Roman" w:hAnsi="Times New Roman" w:cs="Times New Roman"/>
            <w:sz w:val="24"/>
            <w:szCs w:val="24"/>
            <w:lang w:val="en-US"/>
          </w:rPr>
          <w:t>https://hemis.uz/#integration</w:t>
        </w:r>
      </w:hyperlink>
      <w:r w:rsidRPr="00703EE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3EE2">
        <w:rPr>
          <w:rFonts w:ascii="Times New Roman" w:hAnsi="Times New Roman" w:cs="Times New Roman"/>
          <w:sz w:val="24"/>
          <w:szCs w:val="24"/>
          <w:lang w:val="en-US"/>
        </w:rPr>
        <w:t>Faculty and students receive comprehensive training and support for utilizing these resources effectively (https://hemis.uz/yoriqnoma/). Cybersecurity measures are stringent, ensuring data protection, while technology is integrated into the curriculum, fostering inclusive, engaging, and adaptable learning experiences for all (</w:t>
      </w:r>
      <w:proofErr w:type="spellStart"/>
      <w:r w:rsidRPr="00703EE2">
        <w:rPr>
          <w:rFonts w:ascii="Times New Roman" w:hAnsi="Times New Roman" w:cs="Times New Roman"/>
          <w:sz w:val="24"/>
          <w:szCs w:val="24"/>
          <w:lang w:val="en-US"/>
        </w:rPr>
        <w:t>Ta'limning</w:t>
      </w:r>
      <w:proofErr w:type="spellEnd"/>
      <w:r w:rsidRPr="00703EE2">
        <w:rPr>
          <w:rFonts w:ascii="Times New Roman" w:hAnsi="Times New Roman" w:cs="Times New Roman"/>
          <w:sz w:val="24"/>
          <w:szCs w:val="24"/>
          <w:lang w:val="en-US"/>
        </w:rPr>
        <w:t xml:space="preserve"> </w:t>
      </w:r>
      <w:proofErr w:type="spellStart"/>
      <w:r w:rsidRPr="00703EE2">
        <w:rPr>
          <w:rFonts w:ascii="Times New Roman" w:hAnsi="Times New Roman" w:cs="Times New Roman"/>
          <w:sz w:val="24"/>
          <w:szCs w:val="24"/>
          <w:lang w:val="en-US"/>
        </w:rPr>
        <w:t>kredit</w:t>
      </w:r>
      <w:proofErr w:type="spellEnd"/>
      <w:r w:rsidRPr="00703EE2">
        <w:rPr>
          <w:rFonts w:ascii="Times New Roman" w:hAnsi="Times New Roman" w:cs="Times New Roman"/>
          <w:sz w:val="24"/>
          <w:szCs w:val="24"/>
          <w:lang w:val="en-US"/>
        </w:rPr>
        <w:t xml:space="preserve"> </w:t>
      </w:r>
      <w:proofErr w:type="spellStart"/>
      <w:r w:rsidRPr="00703EE2">
        <w:rPr>
          <w:rFonts w:ascii="Times New Roman" w:hAnsi="Times New Roman" w:cs="Times New Roman"/>
          <w:sz w:val="24"/>
          <w:szCs w:val="24"/>
          <w:lang w:val="en-US"/>
        </w:rPr>
        <w:t>tizimini</w:t>
      </w:r>
      <w:proofErr w:type="spellEnd"/>
      <w:r w:rsidRPr="00703EE2">
        <w:rPr>
          <w:rFonts w:ascii="Times New Roman" w:hAnsi="Times New Roman" w:cs="Times New Roman"/>
          <w:sz w:val="24"/>
          <w:szCs w:val="24"/>
          <w:lang w:val="en-US"/>
        </w:rPr>
        <w:t xml:space="preserve"> </w:t>
      </w:r>
      <w:proofErr w:type="spellStart"/>
      <w:r w:rsidRPr="00703EE2">
        <w:rPr>
          <w:rFonts w:ascii="Times New Roman" w:hAnsi="Times New Roman" w:cs="Times New Roman"/>
          <w:sz w:val="24"/>
          <w:szCs w:val="24"/>
          <w:lang w:val="en-US"/>
        </w:rPr>
        <w:t>boshqarish</w:t>
      </w:r>
      <w:proofErr w:type="spellEnd"/>
      <w:r w:rsidRPr="00703EE2">
        <w:rPr>
          <w:rFonts w:ascii="Times New Roman" w:hAnsi="Times New Roman" w:cs="Times New Roman"/>
          <w:sz w:val="24"/>
          <w:szCs w:val="24"/>
          <w:lang w:val="en-US"/>
        </w:rPr>
        <w:t xml:space="preserve"> </w:t>
      </w:r>
      <w:proofErr w:type="spellStart"/>
      <w:r w:rsidRPr="00703EE2">
        <w:rPr>
          <w:rFonts w:ascii="Times New Roman" w:hAnsi="Times New Roman" w:cs="Times New Roman"/>
          <w:sz w:val="24"/>
          <w:szCs w:val="24"/>
          <w:lang w:val="en-US"/>
        </w:rPr>
        <w:t>bo'limi</w:t>
      </w:r>
      <w:proofErr w:type="spellEnd"/>
      <w:r w:rsidRPr="00703EE2">
        <w:rPr>
          <w:rFonts w:ascii="Times New Roman" w:hAnsi="Times New Roman" w:cs="Times New Roman"/>
          <w:sz w:val="24"/>
          <w:szCs w:val="24"/>
          <w:lang w:val="en-US"/>
        </w:rPr>
        <w:t xml:space="preserve"> (uzswlu.uz). </w:t>
      </w:r>
    </w:p>
    <w:p w:rsidR="000D7BEF" w:rsidRPr="00703EE2" w:rsidRDefault="000D7BEF" w:rsidP="00703EE2">
      <w:pPr>
        <w:spacing w:after="0" w:line="276" w:lineRule="auto"/>
        <w:ind w:firstLine="709"/>
        <w:contextualSpacing/>
        <w:jc w:val="both"/>
        <w:rPr>
          <w:rFonts w:ascii="Times New Roman" w:hAnsi="Times New Roman" w:cs="Times New Roman"/>
          <w:sz w:val="24"/>
          <w:szCs w:val="24"/>
          <w:lang w:val="en-US"/>
        </w:rPr>
      </w:pPr>
    </w:p>
    <w:sectPr w:rsidR="000D7BEF" w:rsidRPr="00703EE2">
      <w:foot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3C13" w:rsidRDefault="003021D2">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3851275</wp:posOffset>
              </wp:positionH>
              <wp:positionV relativeFrom="page">
                <wp:posOffset>10088245</wp:posOffset>
              </wp:positionV>
              <wp:extent cx="218440" cy="165100"/>
              <wp:effectExtent l="3175" t="127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C13" w:rsidRDefault="00BD5969">
                          <w:pPr>
                            <w:spacing w:line="244" w:lineRule="exact"/>
                            <w:ind w:left="6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3.25pt;margin-top:794.35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" filled="f" stroked="f">
              <v:textbox inset="0,0,0,0">
                <w:txbxContent>
                  <w:p w:rsidR="006A3C13" w:rsidRDefault="00BD5969">
                    <w:pPr>
                      <w:spacing w:line="244" w:lineRule="exact"/>
                      <w:ind w:left="6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17069"/>
    <w:multiLevelType w:val="multilevel"/>
    <w:tmpl w:val="39D2B86A"/>
    <w:lvl w:ilvl="0">
      <w:start w:val="1"/>
      <w:numFmt w:val="upperLetter"/>
      <w:lvlText w:val="%1."/>
      <w:lvlJc w:val="left"/>
      <w:pPr>
        <w:ind w:left="588" w:hanging="360"/>
      </w:pPr>
      <w:rPr>
        <w:rFonts w:ascii="Calibri" w:eastAsia="Calibri" w:hAnsi="Calibri" w:cs="Calibri" w:hint="default"/>
        <w:b/>
        <w:bCs/>
        <w:w w:val="100"/>
        <w:sz w:val="24"/>
        <w:szCs w:val="24"/>
        <w:lang w:val="en-US" w:eastAsia="en-US" w:bidi="ar-SA"/>
      </w:rPr>
    </w:lvl>
    <w:lvl w:ilvl="1">
      <w:start w:val="1"/>
      <w:numFmt w:val="decimal"/>
      <w:lvlText w:val="%2."/>
      <w:lvlJc w:val="left"/>
      <w:pPr>
        <w:ind w:left="1014" w:hanging="427"/>
      </w:pPr>
      <w:rPr>
        <w:rFonts w:ascii="Calibri" w:eastAsia="Calibri" w:hAnsi="Calibri" w:cs="Calibri" w:hint="default"/>
        <w:b/>
        <w:bCs/>
        <w:w w:val="100"/>
        <w:sz w:val="24"/>
        <w:szCs w:val="24"/>
        <w:lang w:val="en-US" w:eastAsia="en-US" w:bidi="ar-SA"/>
      </w:rPr>
    </w:lvl>
    <w:lvl w:ilvl="2">
      <w:start w:val="1"/>
      <w:numFmt w:val="decimal"/>
      <w:lvlText w:val="%2.%3."/>
      <w:lvlJc w:val="left"/>
      <w:pPr>
        <w:ind w:left="1580" w:hanging="566"/>
      </w:pPr>
      <w:rPr>
        <w:rFonts w:ascii="Calibri" w:eastAsia="Calibri" w:hAnsi="Calibri" w:cs="Calibri" w:hint="default"/>
        <w:b/>
        <w:bCs/>
        <w:w w:val="100"/>
        <w:sz w:val="24"/>
        <w:szCs w:val="24"/>
        <w:lang w:val="en-US" w:eastAsia="en-US" w:bidi="ar-SA"/>
      </w:rPr>
    </w:lvl>
    <w:lvl w:ilvl="3">
      <w:start w:val="1"/>
      <w:numFmt w:val="decimal"/>
      <w:lvlText w:val="%2.%3.%4."/>
      <w:lvlJc w:val="left"/>
      <w:pPr>
        <w:ind w:left="2290" w:hanging="708"/>
      </w:pPr>
      <w:rPr>
        <w:rFonts w:ascii="Calibri" w:eastAsia="Calibri" w:hAnsi="Calibri" w:cs="Calibri" w:hint="default"/>
        <w:b/>
        <w:bCs/>
        <w:w w:val="100"/>
        <w:sz w:val="24"/>
        <w:szCs w:val="24"/>
        <w:lang w:val="en-US" w:eastAsia="en-US" w:bidi="ar-SA"/>
      </w:rPr>
    </w:lvl>
    <w:lvl w:ilvl="4">
      <w:numFmt w:val="bullet"/>
      <w:lvlText w:val="•"/>
      <w:lvlJc w:val="left"/>
      <w:pPr>
        <w:ind w:left="2300" w:hanging="708"/>
      </w:pPr>
      <w:rPr>
        <w:rFonts w:hint="default"/>
        <w:lang w:val="en-US" w:eastAsia="en-US" w:bidi="ar-SA"/>
      </w:rPr>
    </w:lvl>
    <w:lvl w:ilvl="5">
      <w:numFmt w:val="bullet"/>
      <w:lvlText w:val="•"/>
      <w:lvlJc w:val="left"/>
      <w:pPr>
        <w:ind w:left="3357" w:hanging="708"/>
      </w:pPr>
      <w:rPr>
        <w:rFonts w:hint="default"/>
        <w:lang w:val="en-US" w:eastAsia="en-US" w:bidi="ar-SA"/>
      </w:rPr>
    </w:lvl>
    <w:lvl w:ilvl="6">
      <w:numFmt w:val="bullet"/>
      <w:lvlText w:val="•"/>
      <w:lvlJc w:val="left"/>
      <w:pPr>
        <w:ind w:left="4415" w:hanging="708"/>
      </w:pPr>
      <w:rPr>
        <w:rFonts w:hint="default"/>
        <w:lang w:val="en-US" w:eastAsia="en-US" w:bidi="ar-SA"/>
      </w:rPr>
    </w:lvl>
    <w:lvl w:ilvl="7">
      <w:numFmt w:val="bullet"/>
      <w:lvlText w:val="•"/>
      <w:lvlJc w:val="left"/>
      <w:pPr>
        <w:ind w:left="5473" w:hanging="708"/>
      </w:pPr>
      <w:rPr>
        <w:rFonts w:hint="default"/>
        <w:lang w:val="en-US" w:eastAsia="en-US" w:bidi="ar-SA"/>
      </w:rPr>
    </w:lvl>
    <w:lvl w:ilvl="8">
      <w:numFmt w:val="bullet"/>
      <w:lvlText w:val="•"/>
      <w:lvlJc w:val="left"/>
      <w:pPr>
        <w:ind w:left="6530" w:hanging="708"/>
      </w:pPr>
      <w:rPr>
        <w:rFonts w:hint="default"/>
        <w:lang w:val="en-US" w:eastAsia="en-US" w:bidi="ar-SA"/>
      </w:rPr>
    </w:lvl>
  </w:abstractNum>
  <w:abstractNum w:abstractNumId="1" w15:restartNumberingAfterBreak="0">
    <w:nsid w:val="580D45BF"/>
    <w:multiLevelType w:val="hybridMultilevel"/>
    <w:tmpl w:val="D164A63C"/>
    <w:lvl w:ilvl="0" w:tplc="AD04F454">
      <w:start w:val="5"/>
      <w:numFmt w:val="bullet"/>
      <w:lvlText w:val="-"/>
      <w:lvlJc w:val="left"/>
      <w:pPr>
        <w:ind w:left="2280" w:hanging="360"/>
      </w:pPr>
      <w:rPr>
        <w:rFonts w:ascii="Calibri" w:eastAsia="Calibri" w:hAnsi="Calibri" w:cs="Calibri" w:hint="default"/>
        <w:sz w:val="22"/>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B"/>
    <w:rsid w:val="000D7BEF"/>
    <w:rsid w:val="003021D2"/>
    <w:rsid w:val="00703EE2"/>
    <w:rsid w:val="00BD5969"/>
    <w:rsid w:val="00E3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BC6B"/>
  <w15:chartTrackingRefBased/>
  <w15:docId w15:val="{42B049E1-8320-44C6-814F-64F28586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021D2"/>
    <w:pPr>
      <w:spacing w:after="120"/>
    </w:pPr>
  </w:style>
  <w:style w:type="character" w:customStyle="1" w:styleId="a4">
    <w:name w:val="Основной текст Знак"/>
    <w:basedOn w:val="a0"/>
    <w:link w:val="a3"/>
    <w:uiPriority w:val="99"/>
    <w:semiHidden/>
    <w:rsid w:val="003021D2"/>
  </w:style>
  <w:style w:type="character" w:styleId="a5">
    <w:name w:val="Hyperlink"/>
    <w:basedOn w:val="a0"/>
    <w:uiPriority w:val="99"/>
    <w:unhideWhenUsed/>
    <w:rsid w:val="00703EE2"/>
    <w:rPr>
      <w:color w:val="0563C1" w:themeColor="hyperlink"/>
      <w:u w:val="single"/>
    </w:rPr>
  </w:style>
  <w:style w:type="character" w:styleId="a6">
    <w:name w:val="Unresolved Mention"/>
    <w:basedOn w:val="a0"/>
    <w:uiPriority w:val="99"/>
    <w:semiHidden/>
    <w:unhideWhenUsed/>
    <w:rsid w:val="0070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ursera.org/programs/uzbek-state-university-of-world-languages-learning-program-iendn" TargetMode="External"/><Relationship Id="rId12" Type="http://schemas.openxmlformats.org/officeDocument/2006/relationships/hyperlink" Target="https://hemis.uz/#inte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khanacademy.org/" TargetMode="External"/><Relationship Id="rId11" Type="http://schemas.openxmlformats.org/officeDocument/2006/relationships/hyperlink" Target="https://uzswlu.uz/talimning-kredit-tizimini-boshqarish-bolimi" TargetMode="External"/><Relationship Id="rId5" Type="http://schemas.openxmlformats.org/officeDocument/2006/relationships/hyperlink" Target="https://uzlib.uz/" TargetMode="External"/><Relationship Id="rId15" Type="http://schemas.openxmlformats.org/officeDocument/2006/relationships/theme" Target="theme/theme1.xml"/><Relationship Id="rId10" Type="http://schemas.openxmlformats.org/officeDocument/2006/relationships/hyperlink" Target="https://hemis.uz/yoriqnoma/fan-topshiriq.php" TargetMode="External"/><Relationship Id="rId4" Type="http://schemas.openxmlformats.org/officeDocument/2006/relationships/webSettings" Target="webSettings.xml"/><Relationship Id="rId9" Type="http://schemas.openxmlformats.org/officeDocument/2006/relationships/hyperlink" Target="https://classroom.googl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2025-05-15T13:37:00Z</dcterms:created>
  <dcterms:modified xsi:type="dcterms:W3CDTF">2025-05-15T13:57:00Z</dcterms:modified>
</cp:coreProperties>
</file>