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8D56B" w14:textId="04C496C3" w:rsidR="008E0100" w:rsidRPr="00606A9E" w:rsidRDefault="003F6DEF" w:rsidP="008E0100">
      <w:pPr>
        <w:jc w:val="center"/>
        <w:rPr>
          <w:rFonts w:ascii="Cambria" w:hAnsi="Cambria"/>
          <w:b/>
          <w:color w:val="1F3864"/>
          <w:sz w:val="34"/>
          <w:lang w:val="en-US"/>
        </w:rPr>
      </w:pPr>
      <w:r>
        <w:rPr>
          <w:noProof/>
        </w:rPr>
        <w:drawing>
          <wp:anchor distT="0" distB="0" distL="114300" distR="114300" simplePos="0" relativeHeight="251659264" behindDoc="1" locked="0" layoutInCell="1" allowOverlap="1" wp14:anchorId="4DA1D2D7" wp14:editId="7057E86D">
            <wp:simplePos x="0" y="0"/>
            <wp:positionH relativeFrom="column">
              <wp:posOffset>0</wp:posOffset>
            </wp:positionH>
            <wp:positionV relativeFrom="paragraph">
              <wp:posOffset>-635</wp:posOffset>
            </wp:positionV>
            <wp:extent cx="7367270" cy="9575165"/>
            <wp:effectExtent l="0" t="0" r="0" b="0"/>
            <wp:wrapNone/>
            <wp:docPr id="2" name="Picture 2" descr="A blue and white backgroun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7270" cy="957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8E0100" w:rsidRPr="008E0100">
        <w:rPr>
          <w:rFonts w:ascii="Cambria" w:hAnsi="Cambria"/>
          <w:b/>
          <w:color w:val="1F3864"/>
          <w:sz w:val="34"/>
          <w:lang w:val="en-US"/>
        </w:rPr>
        <w:t xml:space="preserve"> MINISTRY OF HIGHER EDUCATION,</w:t>
      </w:r>
      <w:r w:rsidR="008E0100">
        <w:rPr>
          <w:rFonts w:ascii="Cambria" w:hAnsi="Cambria"/>
          <w:b/>
          <w:bCs/>
          <w:color w:val="1F3864"/>
          <w:sz w:val="34"/>
          <w:szCs w:val="34"/>
          <w:lang w:val="en-US"/>
        </w:rPr>
        <w:t xml:space="preserve"> </w:t>
      </w:r>
      <w:r w:rsidR="008E0100" w:rsidRPr="008E0100">
        <w:rPr>
          <w:rFonts w:ascii="Cambria" w:hAnsi="Cambria"/>
          <w:b/>
          <w:color w:val="1F3864"/>
          <w:sz w:val="34"/>
          <w:lang w:val="en-US"/>
        </w:rPr>
        <w:t>SCIENCE AND INNOVATIONS</w:t>
      </w:r>
      <w:r w:rsidR="00606A9E" w:rsidRPr="00606A9E">
        <w:rPr>
          <w:rFonts w:ascii="Cambria" w:hAnsi="Cambria"/>
          <w:b/>
          <w:color w:val="1F3864"/>
          <w:sz w:val="34"/>
          <w:lang w:val="en-US"/>
        </w:rPr>
        <w:t xml:space="preserve"> </w:t>
      </w:r>
      <w:r w:rsidR="00606A9E">
        <w:rPr>
          <w:rFonts w:ascii="Cambria" w:hAnsi="Cambria"/>
          <w:b/>
          <w:color w:val="1F3864"/>
          <w:sz w:val="34"/>
          <w:lang w:val="en-US"/>
        </w:rPr>
        <w:t xml:space="preserve">OF THE </w:t>
      </w:r>
      <w:r w:rsidR="00606A9E" w:rsidRPr="008E0100">
        <w:rPr>
          <w:rFonts w:ascii="Cambria" w:hAnsi="Cambria"/>
          <w:b/>
          <w:color w:val="1F3864"/>
          <w:sz w:val="34"/>
          <w:lang w:val="en-US"/>
        </w:rPr>
        <w:t>REPUBLIC OF UZBEKISTAN</w:t>
      </w:r>
    </w:p>
    <w:p w14:paraId="46E59FF3" w14:textId="6C54D1C1" w:rsidR="008E0100" w:rsidRPr="008E0100" w:rsidRDefault="008E0100" w:rsidP="008E0100">
      <w:pPr>
        <w:jc w:val="center"/>
        <w:rPr>
          <w:rFonts w:ascii="Cambria" w:hAnsi="Cambria"/>
          <w:b/>
          <w:bCs/>
          <w:color w:val="1F3864"/>
          <w:sz w:val="34"/>
          <w:szCs w:val="34"/>
          <w:lang w:val="uz-Cyrl-UZ"/>
        </w:rPr>
      </w:pPr>
      <w:r>
        <w:rPr>
          <w:rFonts w:ascii="Cambria" w:hAnsi="Cambria"/>
          <w:b/>
          <w:color w:val="1F3864"/>
          <w:sz w:val="34"/>
          <w:lang w:val="en-US"/>
        </w:rPr>
        <w:t xml:space="preserve">UZBEKISTAN STATE WORLD LANGUAGES UNIVERSITY </w:t>
      </w:r>
    </w:p>
    <w:p w14:paraId="0CF03088" w14:textId="77777777" w:rsidR="008E0100" w:rsidRPr="008E0100" w:rsidRDefault="008E0100" w:rsidP="008E0100">
      <w:pPr>
        <w:spacing w:before="40" w:after="40"/>
        <w:jc w:val="center"/>
        <w:rPr>
          <w:rFonts w:ascii="Cambria" w:hAnsi="Cambria"/>
          <w:b/>
          <w:bCs/>
          <w:color w:val="1F3864"/>
          <w:sz w:val="34"/>
          <w:szCs w:val="34"/>
          <w:lang w:val="en-US"/>
        </w:rPr>
      </w:pPr>
    </w:p>
    <w:p w14:paraId="75828FE5" w14:textId="77777777" w:rsidR="008E0100" w:rsidRPr="008E0100" w:rsidRDefault="008E0100" w:rsidP="008E0100">
      <w:pPr>
        <w:spacing w:before="40" w:after="40"/>
        <w:jc w:val="center"/>
        <w:rPr>
          <w:rFonts w:ascii="Cambria" w:hAnsi="Cambria"/>
          <w:b/>
          <w:bCs/>
          <w:color w:val="1F3864"/>
          <w:sz w:val="34"/>
          <w:szCs w:val="34"/>
          <w:lang w:val="en-US"/>
        </w:rPr>
      </w:pPr>
    </w:p>
    <w:p w14:paraId="6BCE0C38" w14:textId="63FA5230" w:rsidR="008E0100" w:rsidRDefault="008E0100" w:rsidP="008E0100">
      <w:pPr>
        <w:jc w:val="center"/>
        <w:rPr>
          <w:rFonts w:ascii="Cambria" w:hAnsi="Cambria"/>
          <w:b/>
          <w:color w:val="1F3864"/>
          <w:sz w:val="40"/>
          <w:lang w:val="en-US"/>
        </w:rPr>
      </w:pPr>
    </w:p>
    <w:p w14:paraId="152FD654" w14:textId="673E14A7" w:rsidR="00975288" w:rsidRDefault="00975288" w:rsidP="008E0100">
      <w:pPr>
        <w:jc w:val="center"/>
        <w:rPr>
          <w:rFonts w:ascii="Cambria" w:hAnsi="Cambria"/>
          <w:b/>
          <w:color w:val="1F3864"/>
          <w:sz w:val="40"/>
          <w:lang w:val="en-US"/>
        </w:rPr>
      </w:pPr>
    </w:p>
    <w:p w14:paraId="53AB3717" w14:textId="77777777" w:rsidR="00975288" w:rsidRDefault="00975288" w:rsidP="008E0100">
      <w:pPr>
        <w:jc w:val="center"/>
        <w:rPr>
          <w:rFonts w:ascii="Cambria" w:hAnsi="Cambria"/>
          <w:b/>
          <w:color w:val="1F3864"/>
          <w:sz w:val="40"/>
          <w:lang w:val="en-US"/>
        </w:rPr>
      </w:pPr>
    </w:p>
    <w:p w14:paraId="1B2D51BD" w14:textId="77777777" w:rsidR="008E0100" w:rsidRPr="008E0100" w:rsidRDefault="008E0100" w:rsidP="008E0100">
      <w:pPr>
        <w:spacing w:before="40" w:after="40"/>
        <w:jc w:val="center"/>
        <w:rPr>
          <w:rFonts w:ascii="Times New Roman" w:hAnsi="Times New Roman"/>
          <w:b/>
          <w:noProof/>
          <w:color w:val="000000"/>
          <w:sz w:val="72"/>
          <w:szCs w:val="72"/>
          <w:lang w:val="uz-Cyrl-UZ"/>
        </w:rPr>
      </w:pPr>
    </w:p>
    <w:p w14:paraId="66A72CC5" w14:textId="77777777" w:rsidR="008E0100" w:rsidRPr="00695B97" w:rsidRDefault="008E0100" w:rsidP="008E0100">
      <w:pPr>
        <w:spacing w:before="40" w:after="40"/>
        <w:jc w:val="center"/>
        <w:rPr>
          <w:rFonts w:ascii="Cambria" w:eastAsia="Calibri" w:hAnsi="Cambria" w:cs="Calibri"/>
          <w:b/>
          <w:bCs/>
          <w:caps/>
          <w:spacing w:val="-4"/>
          <w:sz w:val="48"/>
          <w:szCs w:val="48"/>
          <w:lang w:val="en-US"/>
        </w:rPr>
      </w:pPr>
      <w:r w:rsidRPr="00695B97">
        <w:rPr>
          <w:rFonts w:ascii="Cambria" w:eastAsia="Calibri" w:hAnsi="Cambria" w:cs="Calibri"/>
          <w:b/>
          <w:bCs/>
          <w:caps/>
          <w:sz w:val="48"/>
          <w:szCs w:val="48"/>
          <w:lang w:val="en-US"/>
        </w:rPr>
        <w:t>Guidelines</w:t>
      </w:r>
      <w:r w:rsidRPr="00695B97">
        <w:rPr>
          <w:rFonts w:ascii="Cambria" w:eastAsia="Calibri" w:hAnsi="Cambria" w:cs="Calibri"/>
          <w:b/>
          <w:bCs/>
          <w:caps/>
          <w:spacing w:val="-4"/>
          <w:sz w:val="48"/>
          <w:szCs w:val="48"/>
          <w:lang w:val="en-US"/>
        </w:rPr>
        <w:t xml:space="preserve"> </w:t>
      </w:r>
    </w:p>
    <w:p w14:paraId="34A57CE1" w14:textId="33733AE5" w:rsidR="008E0100" w:rsidRPr="008E0100" w:rsidRDefault="008E0100" w:rsidP="008E0100">
      <w:pPr>
        <w:spacing w:before="40" w:after="40"/>
        <w:jc w:val="center"/>
        <w:rPr>
          <w:rFonts w:ascii="Cambria" w:hAnsi="Cambria"/>
          <w:b/>
          <w:bCs/>
          <w:caps/>
          <w:noProof/>
          <w:color w:val="000000"/>
          <w:sz w:val="48"/>
          <w:szCs w:val="48"/>
          <w:lang w:val="uz-Cyrl-UZ"/>
        </w:rPr>
      </w:pPr>
      <w:r w:rsidRPr="00695B97">
        <w:rPr>
          <w:rFonts w:ascii="Cambria" w:eastAsia="Calibri" w:hAnsi="Cambria" w:cs="Calibri"/>
          <w:b/>
          <w:bCs/>
          <w:caps/>
          <w:sz w:val="48"/>
          <w:szCs w:val="48"/>
          <w:lang w:val="en-US"/>
        </w:rPr>
        <w:t>for</w:t>
      </w:r>
      <w:r w:rsidRPr="00695B97">
        <w:rPr>
          <w:rFonts w:ascii="Cambria" w:eastAsia="Calibri" w:hAnsi="Cambria" w:cs="Calibri"/>
          <w:b/>
          <w:bCs/>
          <w:caps/>
          <w:spacing w:val="-3"/>
          <w:sz w:val="48"/>
          <w:szCs w:val="48"/>
          <w:lang w:val="en-US"/>
        </w:rPr>
        <w:t xml:space="preserve"> </w:t>
      </w:r>
      <w:r w:rsidRPr="00695B97">
        <w:rPr>
          <w:rFonts w:ascii="Cambria" w:eastAsia="Calibri" w:hAnsi="Cambria" w:cs="Calibri"/>
          <w:b/>
          <w:bCs/>
          <w:caps/>
          <w:sz w:val="48"/>
          <w:szCs w:val="48"/>
          <w:lang w:val="en-US"/>
        </w:rPr>
        <w:t>inclusive</w:t>
      </w:r>
      <w:r w:rsidRPr="00695B97">
        <w:rPr>
          <w:rFonts w:ascii="Cambria" w:eastAsia="Calibri" w:hAnsi="Cambria" w:cs="Calibri"/>
          <w:b/>
          <w:bCs/>
          <w:caps/>
          <w:spacing w:val="-1"/>
          <w:sz w:val="48"/>
          <w:szCs w:val="48"/>
          <w:lang w:val="en-US"/>
        </w:rPr>
        <w:t xml:space="preserve"> </w:t>
      </w:r>
      <w:r w:rsidRPr="00695B97">
        <w:rPr>
          <w:rFonts w:ascii="Cambria" w:eastAsia="Calibri" w:hAnsi="Cambria" w:cs="Calibri"/>
          <w:b/>
          <w:bCs/>
          <w:caps/>
          <w:sz w:val="48"/>
          <w:szCs w:val="48"/>
          <w:lang w:val="en-US"/>
        </w:rPr>
        <w:t>education</w:t>
      </w:r>
    </w:p>
    <w:p w14:paraId="4BB48693"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679B9023"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55F58DA4"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4847C13E"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03CD3A40"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73404ABD"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04803C49" w14:textId="77777777" w:rsidR="008E0100" w:rsidRPr="006B0231" w:rsidRDefault="008E0100" w:rsidP="008E0100">
      <w:pPr>
        <w:spacing w:before="40" w:after="40"/>
        <w:jc w:val="center"/>
        <w:rPr>
          <w:rFonts w:ascii="Times New Roman" w:hAnsi="Times New Roman"/>
          <w:b/>
          <w:noProof/>
          <w:color w:val="000000"/>
          <w:sz w:val="26"/>
          <w:szCs w:val="26"/>
          <w:lang w:val="uz-Cyrl-UZ"/>
        </w:rPr>
      </w:pPr>
    </w:p>
    <w:p w14:paraId="56964A47" w14:textId="77777777" w:rsidR="008E0100" w:rsidRDefault="008E0100">
      <w:pPr>
        <w:rPr>
          <w:rFonts w:ascii="Arial" w:hAnsi="Arial" w:cs="Arial"/>
          <w:b/>
          <w:bCs/>
          <w:lang w:val="en-US"/>
        </w:rPr>
      </w:pPr>
      <w:r>
        <w:rPr>
          <w:rFonts w:ascii="Arial" w:hAnsi="Arial" w:cs="Arial"/>
          <w:b/>
          <w:bCs/>
          <w:lang w:val="en-US"/>
        </w:rPr>
        <w:br w:type="page"/>
      </w:r>
    </w:p>
    <w:p w14:paraId="2C84B221" w14:textId="6C8A3092" w:rsidR="00906F7A" w:rsidRPr="00906F7A" w:rsidRDefault="00906F7A" w:rsidP="00906F7A">
      <w:pPr>
        <w:jc w:val="both"/>
        <w:rPr>
          <w:rFonts w:ascii="Arial" w:hAnsi="Arial" w:cs="Arial"/>
          <w:b/>
          <w:bCs/>
          <w:lang w:val="en-US"/>
        </w:rPr>
      </w:pPr>
      <w:r w:rsidRPr="00906F7A">
        <w:rPr>
          <w:rFonts w:ascii="Arial" w:hAnsi="Arial" w:cs="Arial"/>
          <w:b/>
          <w:bCs/>
          <w:lang w:val="en-US"/>
        </w:rPr>
        <w:lastRenderedPageBreak/>
        <w:t>Introduction</w:t>
      </w:r>
    </w:p>
    <w:p w14:paraId="79B26245" w14:textId="07AA707F" w:rsidR="00906F7A" w:rsidRPr="00906F7A" w:rsidRDefault="00906F7A" w:rsidP="00906F7A">
      <w:pPr>
        <w:jc w:val="both"/>
        <w:rPr>
          <w:rFonts w:ascii="Arial" w:hAnsi="Arial" w:cs="Arial"/>
          <w:lang w:val="en-US"/>
        </w:rPr>
      </w:pPr>
      <w:r w:rsidRPr="00906F7A">
        <w:rPr>
          <w:rFonts w:ascii="Arial" w:hAnsi="Arial" w:cs="Arial"/>
          <w:lang w:val="en-US"/>
        </w:rPr>
        <w:t>U</w:t>
      </w:r>
      <w:r w:rsidR="003C50A1">
        <w:rPr>
          <w:rFonts w:ascii="Arial" w:hAnsi="Arial" w:cs="Arial"/>
          <w:lang w:val="en-US"/>
        </w:rPr>
        <w:t>zS</w:t>
      </w:r>
      <w:r w:rsidRPr="00906F7A">
        <w:rPr>
          <w:rFonts w:ascii="Arial" w:hAnsi="Arial" w:cs="Arial"/>
          <w:lang w:val="en-US"/>
        </w:rPr>
        <w:t>WLU is dedicated to creating an inclusive learning environment where all students can succeed, especially those who are blind or visually impaired, women who are struggling with poverty and power, and people with limited mobility.  In keeping with the 2022 Towards the Inclusive University – Widening Access in Uzbekistan Conference, this guideline places a strong emphasis on inclusive curricula, student support, and institutional atmosphere.  U</w:t>
      </w:r>
      <w:r w:rsidR="003C50A1">
        <w:rPr>
          <w:rFonts w:ascii="Arial" w:hAnsi="Arial" w:cs="Arial"/>
          <w:lang w:val="en-US"/>
        </w:rPr>
        <w:t>z</w:t>
      </w:r>
      <w:r w:rsidRPr="00906F7A">
        <w:rPr>
          <w:rFonts w:ascii="Arial" w:hAnsi="Arial" w:cs="Arial"/>
          <w:lang w:val="en-US"/>
        </w:rPr>
        <w:t xml:space="preserve">SWLU has already created accessible resources for students who are blind, made accessible roads and hallways, and hired psychiatrists and specialised tutors to assist women. This guideline provides simple, affordable recommendations to enhance these efforts, ensuring equitable access and opportunities. </w:t>
      </w:r>
    </w:p>
    <w:p w14:paraId="1D87F933" w14:textId="77777777" w:rsidR="00906F7A" w:rsidRPr="00906F7A" w:rsidRDefault="00906F7A" w:rsidP="00906F7A">
      <w:pPr>
        <w:jc w:val="both"/>
        <w:rPr>
          <w:rFonts w:ascii="Arial" w:hAnsi="Arial" w:cs="Arial"/>
          <w:b/>
          <w:bCs/>
        </w:rPr>
      </w:pPr>
      <w:r w:rsidRPr="00906F7A">
        <w:rPr>
          <w:rFonts w:ascii="Arial" w:hAnsi="Arial" w:cs="Arial"/>
          <w:b/>
          <w:bCs/>
        </w:rPr>
        <w:t>Purpose</w:t>
      </w:r>
    </w:p>
    <w:p w14:paraId="046FE0A3" w14:textId="77777777" w:rsidR="00906F7A" w:rsidRPr="00906F7A" w:rsidRDefault="00906F7A" w:rsidP="00906F7A">
      <w:pPr>
        <w:numPr>
          <w:ilvl w:val="0"/>
          <w:numId w:val="4"/>
        </w:numPr>
        <w:jc w:val="both"/>
        <w:rPr>
          <w:rFonts w:ascii="Arial" w:hAnsi="Arial" w:cs="Arial"/>
          <w:lang w:val="en-US"/>
        </w:rPr>
      </w:pPr>
      <w:r w:rsidRPr="00906F7A">
        <w:rPr>
          <w:rFonts w:ascii="Arial" w:hAnsi="Arial" w:cs="Arial"/>
          <w:lang w:val="en-US"/>
        </w:rPr>
        <w:t>Provide cost-effective recommendations to create an inclusive environment.</w:t>
      </w:r>
    </w:p>
    <w:p w14:paraId="53098F27" w14:textId="77777777" w:rsidR="00906F7A" w:rsidRPr="00906F7A" w:rsidRDefault="00906F7A" w:rsidP="00906F7A">
      <w:pPr>
        <w:numPr>
          <w:ilvl w:val="0"/>
          <w:numId w:val="4"/>
        </w:numPr>
        <w:jc w:val="both"/>
        <w:rPr>
          <w:rFonts w:ascii="Arial" w:hAnsi="Arial" w:cs="Arial"/>
          <w:lang w:val="en-US"/>
        </w:rPr>
      </w:pPr>
      <w:r w:rsidRPr="00906F7A">
        <w:rPr>
          <w:rFonts w:ascii="Arial" w:hAnsi="Arial" w:cs="Arial"/>
          <w:lang w:val="en-US"/>
        </w:rPr>
        <w:t>Enhance USWLU’s existing accessibility and support initiatives.</w:t>
      </w:r>
    </w:p>
    <w:p w14:paraId="30C59F04" w14:textId="77777777" w:rsidR="00906F7A" w:rsidRPr="00906F7A" w:rsidRDefault="00906F7A" w:rsidP="00906F7A">
      <w:pPr>
        <w:numPr>
          <w:ilvl w:val="0"/>
          <w:numId w:val="4"/>
        </w:numPr>
        <w:jc w:val="both"/>
        <w:rPr>
          <w:rFonts w:ascii="Arial" w:hAnsi="Arial" w:cs="Arial"/>
          <w:lang w:val="en-US"/>
        </w:rPr>
      </w:pPr>
      <w:r w:rsidRPr="00906F7A">
        <w:rPr>
          <w:rFonts w:ascii="Arial" w:hAnsi="Arial" w:cs="Arial"/>
          <w:lang w:val="en-US"/>
        </w:rPr>
        <w:t>Align with Uzbekistan’s inclusivity goals in higher education.</w:t>
      </w:r>
    </w:p>
    <w:p w14:paraId="287219BF" w14:textId="77777777" w:rsidR="00906F7A" w:rsidRPr="00906F7A" w:rsidRDefault="00906F7A" w:rsidP="00906F7A">
      <w:pPr>
        <w:jc w:val="both"/>
        <w:rPr>
          <w:rFonts w:ascii="Arial" w:hAnsi="Arial" w:cs="Arial"/>
          <w:b/>
          <w:bCs/>
        </w:rPr>
      </w:pPr>
      <w:r w:rsidRPr="00906F7A">
        <w:rPr>
          <w:rFonts w:ascii="Arial" w:hAnsi="Arial" w:cs="Arial"/>
          <w:b/>
          <w:bCs/>
        </w:rPr>
        <w:t>1. Accessible Infrastructure</w:t>
      </w:r>
    </w:p>
    <w:p w14:paraId="3C527E31" w14:textId="77777777" w:rsidR="00906F7A" w:rsidRPr="00906F7A" w:rsidRDefault="00906F7A" w:rsidP="00906F7A">
      <w:pPr>
        <w:jc w:val="both"/>
        <w:rPr>
          <w:rFonts w:ascii="Arial" w:hAnsi="Arial" w:cs="Arial"/>
          <w:b/>
          <w:bCs/>
        </w:rPr>
      </w:pPr>
      <w:r w:rsidRPr="00906F7A">
        <w:rPr>
          <w:rFonts w:ascii="Arial" w:hAnsi="Arial" w:cs="Arial"/>
          <w:b/>
          <w:bCs/>
        </w:rPr>
        <w:t>Recommendations</w:t>
      </w:r>
    </w:p>
    <w:p w14:paraId="43BFF46B" w14:textId="77777777" w:rsidR="00906F7A" w:rsidRPr="00906F7A" w:rsidRDefault="00906F7A" w:rsidP="00906F7A">
      <w:pPr>
        <w:numPr>
          <w:ilvl w:val="0"/>
          <w:numId w:val="5"/>
        </w:numPr>
        <w:jc w:val="both"/>
        <w:rPr>
          <w:rFonts w:ascii="Arial" w:hAnsi="Arial" w:cs="Arial"/>
          <w:lang w:val="en-US"/>
        </w:rPr>
      </w:pPr>
      <w:r w:rsidRPr="00906F7A">
        <w:rPr>
          <w:rFonts w:ascii="Arial" w:hAnsi="Arial" w:cs="Arial"/>
          <w:b/>
          <w:bCs/>
          <w:lang w:val="en-US"/>
        </w:rPr>
        <w:t>Maintain Pathways</w:t>
      </w:r>
      <w:r w:rsidRPr="00906F7A">
        <w:rPr>
          <w:rFonts w:ascii="Arial" w:hAnsi="Arial" w:cs="Arial"/>
          <w:lang w:val="en-US"/>
        </w:rPr>
        <w:t>: Regularly repair existing ramps and corridors using affordable materials like concrete to ensure safe access for students with limited mobility and blind students.</w:t>
      </w:r>
    </w:p>
    <w:p w14:paraId="361085D0" w14:textId="77777777" w:rsidR="00906F7A" w:rsidRPr="00906F7A" w:rsidRDefault="00906F7A" w:rsidP="00906F7A">
      <w:pPr>
        <w:numPr>
          <w:ilvl w:val="0"/>
          <w:numId w:val="5"/>
        </w:numPr>
        <w:jc w:val="both"/>
        <w:rPr>
          <w:rFonts w:ascii="Arial" w:hAnsi="Arial" w:cs="Arial"/>
          <w:lang w:val="en-US"/>
        </w:rPr>
      </w:pPr>
      <w:r w:rsidRPr="00906F7A">
        <w:rPr>
          <w:rFonts w:ascii="Arial" w:hAnsi="Arial" w:cs="Arial"/>
          <w:b/>
          <w:bCs/>
          <w:lang w:val="en-US"/>
        </w:rPr>
        <w:t>Add Tactile Signage</w:t>
      </w:r>
      <w:r w:rsidRPr="00906F7A">
        <w:rPr>
          <w:rFonts w:ascii="Arial" w:hAnsi="Arial" w:cs="Arial"/>
          <w:lang w:val="en-US"/>
        </w:rPr>
        <w:t>: Use low-cost vinyl or plastic tactile markers and Braille signs in key areas (e.g., entrances, classrooms) to guide blind and visually impaired students.</w:t>
      </w:r>
    </w:p>
    <w:p w14:paraId="32EA4758" w14:textId="77777777" w:rsidR="00906F7A" w:rsidRPr="00906F7A" w:rsidRDefault="00906F7A" w:rsidP="00906F7A">
      <w:pPr>
        <w:numPr>
          <w:ilvl w:val="0"/>
          <w:numId w:val="5"/>
        </w:numPr>
        <w:jc w:val="both"/>
        <w:rPr>
          <w:rFonts w:ascii="Arial" w:hAnsi="Arial" w:cs="Arial"/>
          <w:lang w:val="en-US"/>
        </w:rPr>
      </w:pPr>
      <w:r w:rsidRPr="00906F7A">
        <w:rPr>
          <w:rFonts w:ascii="Arial" w:hAnsi="Arial" w:cs="Arial"/>
          <w:b/>
          <w:bCs/>
          <w:lang w:val="en-US"/>
        </w:rPr>
        <w:t>Improve Digital Access</w:t>
      </w:r>
      <w:r w:rsidRPr="00906F7A">
        <w:rPr>
          <w:rFonts w:ascii="Arial" w:hAnsi="Arial" w:cs="Arial"/>
          <w:lang w:val="en-US"/>
        </w:rPr>
        <w:t>: Add text descriptions to images on websites and ensure basic keyboard navigation using free tools, making digital platforms accessible.</w:t>
      </w:r>
    </w:p>
    <w:p w14:paraId="5C3B6ADB" w14:textId="77777777" w:rsidR="00906F7A" w:rsidRPr="00906F7A" w:rsidRDefault="00906F7A" w:rsidP="00906F7A">
      <w:pPr>
        <w:jc w:val="both"/>
        <w:rPr>
          <w:rFonts w:ascii="Arial" w:hAnsi="Arial" w:cs="Arial"/>
          <w:b/>
          <w:bCs/>
        </w:rPr>
      </w:pPr>
      <w:r w:rsidRPr="00906F7A">
        <w:rPr>
          <w:rFonts w:ascii="Arial" w:hAnsi="Arial" w:cs="Arial"/>
          <w:b/>
          <w:bCs/>
        </w:rPr>
        <w:t>2. Accessible Educational Materials</w:t>
      </w:r>
    </w:p>
    <w:p w14:paraId="6E7F309E" w14:textId="77777777" w:rsidR="00906F7A" w:rsidRPr="00906F7A" w:rsidRDefault="00906F7A" w:rsidP="00906F7A">
      <w:pPr>
        <w:jc w:val="both"/>
        <w:rPr>
          <w:rFonts w:ascii="Arial" w:hAnsi="Arial" w:cs="Arial"/>
          <w:b/>
          <w:bCs/>
        </w:rPr>
      </w:pPr>
      <w:r w:rsidRPr="00906F7A">
        <w:rPr>
          <w:rFonts w:ascii="Arial" w:hAnsi="Arial" w:cs="Arial"/>
          <w:b/>
          <w:bCs/>
        </w:rPr>
        <w:t>Recommendations</w:t>
      </w:r>
    </w:p>
    <w:p w14:paraId="20790E2B" w14:textId="77777777" w:rsidR="00906F7A" w:rsidRPr="00906F7A" w:rsidRDefault="00906F7A" w:rsidP="00906F7A">
      <w:pPr>
        <w:numPr>
          <w:ilvl w:val="0"/>
          <w:numId w:val="7"/>
        </w:numPr>
        <w:jc w:val="both"/>
        <w:rPr>
          <w:rFonts w:ascii="Arial" w:hAnsi="Arial" w:cs="Arial"/>
          <w:lang w:val="en-US"/>
        </w:rPr>
      </w:pPr>
      <w:r w:rsidRPr="00906F7A">
        <w:rPr>
          <w:rFonts w:ascii="Arial" w:hAnsi="Arial" w:cs="Arial"/>
          <w:b/>
          <w:bCs/>
          <w:lang w:val="en-US"/>
        </w:rPr>
        <w:t>Offer Multiple Formats</w:t>
      </w:r>
      <w:r w:rsidRPr="00906F7A">
        <w:rPr>
          <w:rFonts w:ascii="Arial" w:hAnsi="Arial" w:cs="Arial"/>
          <w:lang w:val="en-US"/>
        </w:rPr>
        <w:t>: Build on existing materials by providing audio recordings of lectures (using free smartphone apps) and large-print handouts (using standard printers) for blind and visually impaired students.</w:t>
      </w:r>
    </w:p>
    <w:p w14:paraId="5F214955" w14:textId="77777777" w:rsidR="00906F7A" w:rsidRPr="00906F7A" w:rsidRDefault="00906F7A" w:rsidP="00906F7A">
      <w:pPr>
        <w:numPr>
          <w:ilvl w:val="0"/>
          <w:numId w:val="7"/>
        </w:numPr>
        <w:jc w:val="both"/>
        <w:rPr>
          <w:rFonts w:ascii="Arial" w:hAnsi="Arial" w:cs="Arial"/>
          <w:lang w:val="en-US"/>
        </w:rPr>
      </w:pPr>
      <w:r w:rsidRPr="00906F7A">
        <w:rPr>
          <w:rFonts w:ascii="Arial" w:hAnsi="Arial" w:cs="Arial"/>
          <w:b/>
          <w:bCs/>
          <w:lang w:val="en-US"/>
        </w:rPr>
        <w:t>Use Free Tools</w:t>
      </w:r>
      <w:r w:rsidRPr="00906F7A">
        <w:rPr>
          <w:rFonts w:ascii="Arial" w:hAnsi="Arial" w:cs="Arial"/>
          <w:lang w:val="en-US"/>
        </w:rPr>
        <w:t>: Adopt free screen readers like NVDA and locally developed text-to-speech software to support blind students, avoiding costly proprietary systems.</w:t>
      </w:r>
    </w:p>
    <w:p w14:paraId="1B07272F" w14:textId="77777777" w:rsidR="00906F7A" w:rsidRPr="00906F7A" w:rsidRDefault="00906F7A" w:rsidP="00906F7A">
      <w:pPr>
        <w:numPr>
          <w:ilvl w:val="0"/>
          <w:numId w:val="7"/>
        </w:numPr>
        <w:jc w:val="both"/>
        <w:rPr>
          <w:rFonts w:ascii="Arial" w:hAnsi="Arial" w:cs="Arial"/>
          <w:lang w:val="en-US"/>
        </w:rPr>
      </w:pPr>
      <w:r w:rsidRPr="00906F7A">
        <w:rPr>
          <w:rFonts w:ascii="Arial" w:hAnsi="Arial" w:cs="Arial"/>
          <w:b/>
          <w:bCs/>
          <w:lang w:val="en-US"/>
        </w:rPr>
        <w:t>Simplify Content Delivery</w:t>
      </w:r>
      <w:r w:rsidRPr="00906F7A">
        <w:rPr>
          <w:rFonts w:ascii="Arial" w:hAnsi="Arial" w:cs="Arial"/>
          <w:lang w:val="en-US"/>
        </w:rPr>
        <w:t>: Encourage faculty to use verbal explanations and printed notes to accommodate diverse learners, requiring no additional resources.</w:t>
      </w:r>
    </w:p>
    <w:p w14:paraId="5C3C755E" w14:textId="77777777" w:rsidR="00906F7A" w:rsidRPr="00906F7A" w:rsidRDefault="00906F7A" w:rsidP="00906F7A">
      <w:pPr>
        <w:jc w:val="both"/>
        <w:rPr>
          <w:rFonts w:ascii="Arial" w:hAnsi="Arial" w:cs="Arial"/>
          <w:b/>
          <w:bCs/>
          <w:lang w:val="en-US"/>
        </w:rPr>
      </w:pPr>
      <w:r w:rsidRPr="00906F7A">
        <w:rPr>
          <w:rFonts w:ascii="Arial" w:hAnsi="Arial" w:cs="Arial"/>
          <w:b/>
          <w:bCs/>
          <w:lang w:val="en-US"/>
        </w:rPr>
        <w:t>3. Support for Women Facing Power and Poverty Challenges</w:t>
      </w:r>
    </w:p>
    <w:p w14:paraId="166F6F31" w14:textId="77777777" w:rsidR="00906F7A" w:rsidRPr="00906F7A" w:rsidRDefault="00906F7A" w:rsidP="00906F7A">
      <w:pPr>
        <w:jc w:val="both"/>
        <w:rPr>
          <w:rFonts w:ascii="Arial" w:hAnsi="Arial" w:cs="Arial"/>
          <w:b/>
          <w:bCs/>
        </w:rPr>
      </w:pPr>
      <w:r w:rsidRPr="00906F7A">
        <w:rPr>
          <w:rFonts w:ascii="Arial" w:hAnsi="Arial" w:cs="Arial"/>
          <w:b/>
          <w:bCs/>
        </w:rPr>
        <w:t>Recommendations</w:t>
      </w:r>
    </w:p>
    <w:p w14:paraId="4C096EAF" w14:textId="77777777" w:rsidR="00906F7A" w:rsidRPr="00906F7A" w:rsidRDefault="00906F7A" w:rsidP="00906F7A">
      <w:pPr>
        <w:numPr>
          <w:ilvl w:val="0"/>
          <w:numId w:val="9"/>
        </w:numPr>
        <w:jc w:val="both"/>
        <w:rPr>
          <w:rFonts w:ascii="Arial" w:hAnsi="Arial" w:cs="Arial"/>
          <w:lang w:val="en-US"/>
        </w:rPr>
      </w:pPr>
      <w:r w:rsidRPr="00906F7A">
        <w:rPr>
          <w:rFonts w:ascii="Arial" w:hAnsi="Arial" w:cs="Arial"/>
          <w:b/>
          <w:bCs/>
          <w:lang w:val="en-US"/>
        </w:rPr>
        <w:lastRenderedPageBreak/>
        <w:t>Continue Tutor Support</w:t>
      </w:r>
      <w:r w:rsidRPr="00906F7A">
        <w:rPr>
          <w:rFonts w:ascii="Arial" w:hAnsi="Arial" w:cs="Arial"/>
          <w:lang w:val="en-US"/>
        </w:rPr>
        <w:t>: Use existing tutors to provide one-on-one academic guidance for women, focusing on study skills and empowerment, with no additional staffing costs.</w:t>
      </w:r>
    </w:p>
    <w:p w14:paraId="20E81F25" w14:textId="77777777" w:rsidR="00906F7A" w:rsidRPr="00906F7A" w:rsidRDefault="00906F7A" w:rsidP="00906F7A">
      <w:pPr>
        <w:numPr>
          <w:ilvl w:val="0"/>
          <w:numId w:val="9"/>
        </w:numPr>
        <w:jc w:val="both"/>
        <w:rPr>
          <w:rFonts w:ascii="Arial" w:hAnsi="Arial" w:cs="Arial"/>
          <w:lang w:val="en-US"/>
        </w:rPr>
      </w:pPr>
      <w:r w:rsidRPr="00906F7A">
        <w:rPr>
          <w:rFonts w:ascii="Arial" w:hAnsi="Arial" w:cs="Arial"/>
          <w:b/>
          <w:bCs/>
          <w:lang w:val="en-US"/>
        </w:rPr>
        <w:t>Expand Counseling</w:t>
      </w:r>
      <w:r w:rsidRPr="00906F7A">
        <w:rPr>
          <w:rFonts w:ascii="Arial" w:hAnsi="Arial" w:cs="Arial"/>
          <w:lang w:val="en-US"/>
        </w:rPr>
        <w:t>: Leverage current psychologists to offer group counseling sessions for gender-based challenges, maximizing reach without hiring.</w:t>
      </w:r>
    </w:p>
    <w:p w14:paraId="03FF93AE" w14:textId="77777777" w:rsidR="00906F7A" w:rsidRPr="00906F7A" w:rsidRDefault="00906F7A" w:rsidP="00906F7A">
      <w:pPr>
        <w:numPr>
          <w:ilvl w:val="0"/>
          <w:numId w:val="9"/>
        </w:numPr>
        <w:jc w:val="both"/>
        <w:rPr>
          <w:rFonts w:ascii="Arial" w:hAnsi="Arial" w:cs="Arial"/>
          <w:lang w:val="en-US"/>
        </w:rPr>
      </w:pPr>
      <w:r w:rsidRPr="00906F7A">
        <w:rPr>
          <w:rFonts w:ascii="Arial" w:hAnsi="Arial" w:cs="Arial"/>
          <w:b/>
          <w:bCs/>
          <w:lang w:val="en-US"/>
        </w:rPr>
        <w:t>Create Safe Spaces</w:t>
      </w:r>
      <w:r w:rsidRPr="00906F7A">
        <w:rPr>
          <w:rFonts w:ascii="Arial" w:hAnsi="Arial" w:cs="Arial"/>
          <w:lang w:val="en-US"/>
        </w:rPr>
        <w:t>: Designate existing classrooms as women-only study areas during off-hours to foster a supportive environment.</w:t>
      </w:r>
    </w:p>
    <w:p w14:paraId="2E019D66" w14:textId="77777777" w:rsidR="00906F7A" w:rsidRPr="00906F7A" w:rsidRDefault="00906F7A" w:rsidP="00906F7A">
      <w:pPr>
        <w:jc w:val="both"/>
        <w:rPr>
          <w:rFonts w:ascii="Arial" w:hAnsi="Arial" w:cs="Arial"/>
          <w:b/>
          <w:bCs/>
        </w:rPr>
      </w:pPr>
      <w:r w:rsidRPr="00906F7A">
        <w:rPr>
          <w:rFonts w:ascii="Arial" w:hAnsi="Arial" w:cs="Arial"/>
          <w:b/>
          <w:bCs/>
        </w:rPr>
        <w:t>4. Inclusive Teaching Practices</w:t>
      </w:r>
    </w:p>
    <w:p w14:paraId="0F000EC0" w14:textId="77777777" w:rsidR="00906F7A" w:rsidRPr="00906F7A" w:rsidRDefault="00906F7A" w:rsidP="00906F7A">
      <w:pPr>
        <w:jc w:val="both"/>
        <w:rPr>
          <w:rFonts w:ascii="Arial" w:hAnsi="Arial" w:cs="Arial"/>
          <w:b/>
          <w:bCs/>
        </w:rPr>
      </w:pPr>
      <w:r w:rsidRPr="00906F7A">
        <w:rPr>
          <w:rFonts w:ascii="Arial" w:hAnsi="Arial" w:cs="Arial"/>
          <w:b/>
          <w:bCs/>
        </w:rPr>
        <w:t>Recommendations</w:t>
      </w:r>
    </w:p>
    <w:p w14:paraId="1042942D" w14:textId="77777777" w:rsidR="00906F7A" w:rsidRPr="00906F7A" w:rsidRDefault="00906F7A" w:rsidP="00906F7A">
      <w:pPr>
        <w:numPr>
          <w:ilvl w:val="0"/>
          <w:numId w:val="11"/>
        </w:numPr>
        <w:jc w:val="both"/>
        <w:rPr>
          <w:rFonts w:ascii="Arial" w:hAnsi="Arial" w:cs="Arial"/>
          <w:lang w:val="en-US"/>
        </w:rPr>
      </w:pPr>
      <w:r w:rsidRPr="00906F7A">
        <w:rPr>
          <w:rFonts w:ascii="Arial" w:hAnsi="Arial" w:cs="Arial"/>
          <w:b/>
          <w:bCs/>
          <w:lang w:val="en-US"/>
        </w:rPr>
        <w:t>Adopt Simple UDL</w:t>
      </w:r>
      <w:r w:rsidRPr="00906F7A">
        <w:rPr>
          <w:rFonts w:ascii="Arial" w:hAnsi="Arial" w:cs="Arial"/>
          <w:lang w:val="en-US"/>
        </w:rPr>
        <w:t>: Encourage faculty to offer verbal exams or group discussions to accommodate diverse learners, using existing classroom resources.</w:t>
      </w:r>
    </w:p>
    <w:p w14:paraId="653B2D34" w14:textId="77777777" w:rsidR="00906F7A" w:rsidRPr="00906F7A" w:rsidRDefault="00906F7A" w:rsidP="00906F7A">
      <w:pPr>
        <w:numPr>
          <w:ilvl w:val="0"/>
          <w:numId w:val="11"/>
        </w:numPr>
        <w:jc w:val="both"/>
        <w:rPr>
          <w:rFonts w:ascii="Arial" w:hAnsi="Arial" w:cs="Arial"/>
          <w:lang w:val="en-US"/>
        </w:rPr>
      </w:pPr>
      <w:r w:rsidRPr="00906F7A">
        <w:rPr>
          <w:rFonts w:ascii="Arial" w:hAnsi="Arial" w:cs="Arial"/>
          <w:b/>
          <w:bCs/>
          <w:lang w:val="en-US"/>
        </w:rPr>
        <w:t>Promote Gender Equity</w:t>
      </w:r>
      <w:r w:rsidRPr="00906F7A">
        <w:rPr>
          <w:rFonts w:ascii="Arial" w:hAnsi="Arial" w:cs="Arial"/>
          <w:lang w:val="en-US"/>
        </w:rPr>
        <w:t>: Include discussions on gender equality in language courses using current textbooks, requiring no new materials.</w:t>
      </w:r>
    </w:p>
    <w:p w14:paraId="2A422033" w14:textId="3F886AD8" w:rsidR="00906F7A" w:rsidRPr="00906F7A" w:rsidRDefault="00906F7A" w:rsidP="00906F7A">
      <w:pPr>
        <w:numPr>
          <w:ilvl w:val="0"/>
          <w:numId w:val="11"/>
        </w:numPr>
        <w:jc w:val="both"/>
        <w:rPr>
          <w:rFonts w:ascii="Arial" w:hAnsi="Arial" w:cs="Arial"/>
          <w:lang w:val="en-US"/>
        </w:rPr>
      </w:pPr>
      <w:r w:rsidRPr="00906F7A">
        <w:rPr>
          <w:rFonts w:ascii="Arial" w:hAnsi="Arial" w:cs="Arial"/>
          <w:b/>
          <w:bCs/>
          <w:lang w:val="en-US"/>
        </w:rPr>
        <w:t>Conduct In-House Training</w:t>
      </w:r>
      <w:r w:rsidRPr="00906F7A">
        <w:rPr>
          <w:rFonts w:ascii="Arial" w:hAnsi="Arial" w:cs="Arial"/>
          <w:lang w:val="en-US"/>
        </w:rPr>
        <w:t>: Use existing staff to train faculty on disability and gender awareness, minimizing costs.</w:t>
      </w:r>
    </w:p>
    <w:p w14:paraId="09F26587" w14:textId="77777777" w:rsidR="00906F7A" w:rsidRPr="00906F7A" w:rsidRDefault="00906F7A" w:rsidP="00906F7A">
      <w:pPr>
        <w:jc w:val="both"/>
        <w:rPr>
          <w:rFonts w:ascii="Arial" w:hAnsi="Arial" w:cs="Arial"/>
          <w:b/>
          <w:bCs/>
        </w:rPr>
      </w:pPr>
      <w:r w:rsidRPr="00906F7A">
        <w:rPr>
          <w:rFonts w:ascii="Arial" w:hAnsi="Arial" w:cs="Arial"/>
          <w:b/>
          <w:bCs/>
        </w:rPr>
        <w:t>5. Stakeholder Engagement</w:t>
      </w:r>
    </w:p>
    <w:p w14:paraId="332DAF1B" w14:textId="77777777" w:rsidR="00906F7A" w:rsidRPr="00906F7A" w:rsidRDefault="00906F7A" w:rsidP="00906F7A">
      <w:pPr>
        <w:jc w:val="both"/>
        <w:rPr>
          <w:rFonts w:ascii="Arial" w:hAnsi="Arial" w:cs="Arial"/>
          <w:b/>
          <w:bCs/>
        </w:rPr>
      </w:pPr>
      <w:r w:rsidRPr="00906F7A">
        <w:rPr>
          <w:rFonts w:ascii="Arial" w:hAnsi="Arial" w:cs="Arial"/>
          <w:b/>
          <w:bCs/>
        </w:rPr>
        <w:t>Recommendations</w:t>
      </w:r>
    </w:p>
    <w:p w14:paraId="7AA36816" w14:textId="77777777" w:rsidR="00906F7A" w:rsidRPr="00906F7A" w:rsidRDefault="00906F7A" w:rsidP="00906F7A">
      <w:pPr>
        <w:numPr>
          <w:ilvl w:val="0"/>
          <w:numId w:val="13"/>
        </w:numPr>
        <w:jc w:val="both"/>
        <w:rPr>
          <w:rFonts w:ascii="Arial" w:hAnsi="Arial" w:cs="Arial"/>
          <w:lang w:val="en-US"/>
        </w:rPr>
      </w:pPr>
      <w:r w:rsidRPr="00906F7A">
        <w:rPr>
          <w:rFonts w:ascii="Arial" w:hAnsi="Arial" w:cs="Arial"/>
          <w:b/>
          <w:bCs/>
          <w:lang w:val="en-US"/>
        </w:rPr>
        <w:t>Partner Locally</w:t>
      </w:r>
      <w:r w:rsidRPr="00906F7A">
        <w:rPr>
          <w:rFonts w:ascii="Arial" w:hAnsi="Arial" w:cs="Arial"/>
          <w:lang w:val="en-US"/>
        </w:rPr>
        <w:t>: Work with the Society of the Blind of Uzbekistan for free resources, such as volunteer-led training or shared materials.</w:t>
      </w:r>
    </w:p>
    <w:p w14:paraId="69DD068E" w14:textId="77777777" w:rsidR="00906F7A" w:rsidRPr="00906F7A" w:rsidRDefault="00906F7A" w:rsidP="00906F7A">
      <w:pPr>
        <w:numPr>
          <w:ilvl w:val="0"/>
          <w:numId w:val="13"/>
        </w:numPr>
        <w:jc w:val="both"/>
        <w:rPr>
          <w:rFonts w:ascii="Arial" w:hAnsi="Arial" w:cs="Arial"/>
          <w:lang w:val="en-US"/>
        </w:rPr>
      </w:pPr>
      <w:r w:rsidRPr="00906F7A">
        <w:rPr>
          <w:rFonts w:ascii="Arial" w:hAnsi="Arial" w:cs="Arial"/>
          <w:b/>
          <w:bCs/>
          <w:lang w:val="en-US"/>
        </w:rPr>
        <w:t>Engage Students</w:t>
      </w:r>
      <w:r w:rsidRPr="00906F7A">
        <w:rPr>
          <w:rFonts w:ascii="Arial" w:hAnsi="Arial" w:cs="Arial"/>
          <w:lang w:val="en-US"/>
        </w:rPr>
        <w:t>: Hold free campus forums to gather student input on inclusivity needs, ensuring solutions are relevant.</w:t>
      </w:r>
    </w:p>
    <w:p w14:paraId="5F516B72" w14:textId="77777777" w:rsidR="00906F7A" w:rsidRPr="00906F7A" w:rsidRDefault="00906F7A" w:rsidP="00906F7A">
      <w:pPr>
        <w:numPr>
          <w:ilvl w:val="0"/>
          <w:numId w:val="13"/>
        </w:numPr>
        <w:jc w:val="both"/>
        <w:rPr>
          <w:rFonts w:ascii="Arial" w:hAnsi="Arial" w:cs="Arial"/>
          <w:lang w:val="en-US"/>
        </w:rPr>
      </w:pPr>
      <w:r w:rsidRPr="00906F7A">
        <w:rPr>
          <w:rFonts w:ascii="Arial" w:hAnsi="Arial" w:cs="Arial"/>
          <w:b/>
          <w:bCs/>
          <w:lang w:val="en-US"/>
        </w:rPr>
        <w:t>Seek Government Support</w:t>
      </w:r>
      <w:r w:rsidRPr="00906F7A">
        <w:rPr>
          <w:rFonts w:ascii="Arial" w:hAnsi="Arial" w:cs="Arial"/>
          <w:lang w:val="en-US"/>
        </w:rPr>
        <w:t>: Collaborate with the Ministry of Higher Education for guidance and small-scale funding from existing programs.</w:t>
      </w:r>
    </w:p>
    <w:p w14:paraId="1D251C91" w14:textId="77777777" w:rsidR="00906F7A" w:rsidRPr="00906F7A" w:rsidRDefault="00906F7A" w:rsidP="00906F7A">
      <w:pPr>
        <w:jc w:val="both"/>
        <w:rPr>
          <w:rFonts w:ascii="Arial" w:hAnsi="Arial" w:cs="Arial"/>
          <w:b/>
          <w:bCs/>
        </w:rPr>
      </w:pPr>
      <w:r w:rsidRPr="00906F7A">
        <w:rPr>
          <w:rFonts w:ascii="Arial" w:hAnsi="Arial" w:cs="Arial"/>
          <w:b/>
          <w:bCs/>
        </w:rPr>
        <w:t>6. Feedback and Improvement</w:t>
      </w:r>
    </w:p>
    <w:p w14:paraId="33C5A5B1" w14:textId="77777777" w:rsidR="00906F7A" w:rsidRPr="00906F7A" w:rsidRDefault="00906F7A" w:rsidP="00906F7A">
      <w:pPr>
        <w:jc w:val="both"/>
        <w:rPr>
          <w:rFonts w:ascii="Arial" w:hAnsi="Arial" w:cs="Arial"/>
          <w:b/>
          <w:bCs/>
        </w:rPr>
      </w:pPr>
      <w:r w:rsidRPr="00906F7A">
        <w:rPr>
          <w:rFonts w:ascii="Arial" w:hAnsi="Arial" w:cs="Arial"/>
          <w:b/>
          <w:bCs/>
        </w:rPr>
        <w:t>Recommendations</w:t>
      </w:r>
    </w:p>
    <w:p w14:paraId="407247ED" w14:textId="77777777" w:rsidR="00906F7A" w:rsidRPr="00906F7A" w:rsidRDefault="00906F7A" w:rsidP="00906F7A">
      <w:pPr>
        <w:numPr>
          <w:ilvl w:val="0"/>
          <w:numId w:val="15"/>
        </w:numPr>
        <w:jc w:val="both"/>
        <w:rPr>
          <w:rFonts w:ascii="Arial" w:hAnsi="Arial" w:cs="Arial"/>
          <w:lang w:val="en-US"/>
        </w:rPr>
      </w:pPr>
      <w:r w:rsidRPr="00906F7A">
        <w:rPr>
          <w:rFonts w:ascii="Arial" w:hAnsi="Arial" w:cs="Arial"/>
          <w:b/>
          <w:bCs/>
          <w:lang w:val="en-US"/>
        </w:rPr>
        <w:t>Gather Feedback</w:t>
      </w:r>
      <w:r w:rsidRPr="00906F7A">
        <w:rPr>
          <w:rFonts w:ascii="Arial" w:hAnsi="Arial" w:cs="Arial"/>
          <w:lang w:val="en-US"/>
        </w:rPr>
        <w:t>: Use free online forms (e.g., Google Forms) or suggestion boxes in common areas to collect input on inclusivity barriers.</w:t>
      </w:r>
    </w:p>
    <w:p w14:paraId="7B3E13A7" w14:textId="77777777" w:rsidR="00906F7A" w:rsidRPr="00906F7A" w:rsidRDefault="00906F7A" w:rsidP="00906F7A">
      <w:pPr>
        <w:numPr>
          <w:ilvl w:val="0"/>
          <w:numId w:val="15"/>
        </w:numPr>
        <w:jc w:val="both"/>
        <w:rPr>
          <w:rFonts w:ascii="Arial" w:hAnsi="Arial" w:cs="Arial"/>
          <w:lang w:val="en-US"/>
        </w:rPr>
      </w:pPr>
      <w:r w:rsidRPr="00906F7A">
        <w:rPr>
          <w:rFonts w:ascii="Arial" w:hAnsi="Arial" w:cs="Arial"/>
          <w:b/>
          <w:bCs/>
          <w:lang w:val="en-US"/>
        </w:rPr>
        <w:t>Check Accessibility</w:t>
      </w:r>
      <w:r w:rsidRPr="00906F7A">
        <w:rPr>
          <w:rFonts w:ascii="Arial" w:hAnsi="Arial" w:cs="Arial"/>
          <w:lang w:val="en-US"/>
        </w:rPr>
        <w:t>: Conduct staff-led walkthroughs to assess roads, corridors, and materials, avoiding external consultant costs.</w:t>
      </w:r>
    </w:p>
    <w:p w14:paraId="1784F597" w14:textId="77777777" w:rsidR="00906F7A" w:rsidRPr="00906F7A" w:rsidRDefault="00906F7A" w:rsidP="00906F7A">
      <w:pPr>
        <w:numPr>
          <w:ilvl w:val="0"/>
          <w:numId w:val="15"/>
        </w:numPr>
        <w:jc w:val="both"/>
        <w:rPr>
          <w:rFonts w:ascii="Arial" w:hAnsi="Arial" w:cs="Arial"/>
          <w:lang w:val="en-US"/>
        </w:rPr>
      </w:pPr>
      <w:r w:rsidRPr="00906F7A">
        <w:rPr>
          <w:rFonts w:ascii="Arial" w:hAnsi="Arial" w:cs="Arial"/>
          <w:b/>
          <w:bCs/>
          <w:lang w:val="en-US"/>
        </w:rPr>
        <w:t>Track Progress</w:t>
      </w:r>
      <w:r w:rsidRPr="00906F7A">
        <w:rPr>
          <w:rFonts w:ascii="Arial" w:hAnsi="Arial" w:cs="Arial"/>
          <w:lang w:val="en-US"/>
        </w:rPr>
        <w:t>: Monitor improvements through student and staff feedback, using simple qualitative reports.</w:t>
      </w:r>
    </w:p>
    <w:p w14:paraId="58AA319F" w14:textId="77777777" w:rsidR="00906F7A" w:rsidRPr="00906F7A" w:rsidRDefault="00906F7A" w:rsidP="00906F7A">
      <w:pPr>
        <w:jc w:val="both"/>
        <w:rPr>
          <w:rFonts w:ascii="Arial" w:hAnsi="Arial" w:cs="Arial"/>
          <w:b/>
          <w:bCs/>
          <w:lang w:val="en-US"/>
        </w:rPr>
      </w:pPr>
      <w:r w:rsidRPr="00906F7A">
        <w:rPr>
          <w:rFonts w:ascii="Arial" w:hAnsi="Arial" w:cs="Arial"/>
          <w:b/>
          <w:bCs/>
          <w:lang w:val="en-US"/>
        </w:rPr>
        <w:t>Conclusion</w:t>
      </w:r>
    </w:p>
    <w:p w14:paraId="143E822C" w14:textId="04ECF48A" w:rsidR="00906F7A" w:rsidRPr="00906F7A" w:rsidRDefault="00906F7A" w:rsidP="00906F7A">
      <w:pPr>
        <w:jc w:val="both"/>
        <w:rPr>
          <w:rFonts w:ascii="Arial" w:hAnsi="Arial" w:cs="Arial"/>
          <w:lang w:val="en-US"/>
        </w:rPr>
      </w:pPr>
      <w:r w:rsidRPr="00906F7A">
        <w:rPr>
          <w:rFonts w:ascii="Arial" w:hAnsi="Arial" w:cs="Arial"/>
          <w:lang w:val="en-US"/>
        </w:rPr>
        <w:t>This Recommendation Guideline on Inclusivity provides affordable, practical strategies to enhance U</w:t>
      </w:r>
      <w:r w:rsidR="0091420F">
        <w:rPr>
          <w:rFonts w:ascii="Arial" w:hAnsi="Arial" w:cs="Arial"/>
          <w:lang w:val="en-US"/>
        </w:rPr>
        <w:t>z</w:t>
      </w:r>
      <w:r w:rsidRPr="00906F7A">
        <w:rPr>
          <w:rFonts w:ascii="Arial" w:hAnsi="Arial" w:cs="Arial"/>
          <w:lang w:val="en-US"/>
        </w:rPr>
        <w:t xml:space="preserve">SWLU’s inclusive environment for blind and visually impaired students, women facing power and poverty challenges, and individuals with limited mobility. By building on existing efforts—accessible materials, improved infrastructure, and </w:t>
      </w:r>
      <w:r w:rsidRPr="00906F7A">
        <w:rPr>
          <w:rFonts w:ascii="Arial" w:hAnsi="Arial" w:cs="Arial"/>
          <w:lang w:val="en-US"/>
        </w:rPr>
        <w:lastRenderedPageBreak/>
        <w:t>specialized support—USWLU ensures equitable access with minimal resources. The guideline aligns with Uzbekistan’s inclusivity goals and will be reviewed annually by the U</w:t>
      </w:r>
      <w:r w:rsidR="0003500E">
        <w:rPr>
          <w:rFonts w:ascii="Arial" w:hAnsi="Arial" w:cs="Arial"/>
          <w:lang w:val="en-US"/>
        </w:rPr>
        <w:t>z</w:t>
      </w:r>
      <w:r w:rsidRPr="00906F7A">
        <w:rPr>
          <w:rFonts w:ascii="Arial" w:hAnsi="Arial" w:cs="Arial"/>
          <w:lang w:val="en-US"/>
        </w:rPr>
        <w:t>SWLU Inclusivity Task Force to remain responsive.</w:t>
      </w:r>
    </w:p>
    <w:p w14:paraId="2A76213E" w14:textId="77777777" w:rsidR="00906F7A" w:rsidRPr="00906F7A" w:rsidRDefault="00906F7A" w:rsidP="00906F7A">
      <w:pPr>
        <w:jc w:val="both"/>
        <w:rPr>
          <w:rFonts w:ascii="Arial" w:hAnsi="Arial" w:cs="Arial"/>
          <w:lang w:val="en-US"/>
        </w:rPr>
      </w:pPr>
    </w:p>
    <w:p w14:paraId="67DCDB7B" w14:textId="77777777" w:rsidR="00906F7A" w:rsidRPr="00906F7A" w:rsidRDefault="00906F7A" w:rsidP="00906F7A">
      <w:pPr>
        <w:jc w:val="both"/>
        <w:rPr>
          <w:rFonts w:ascii="Arial" w:hAnsi="Arial" w:cs="Arial"/>
          <w:lang w:val="en-US"/>
        </w:rPr>
      </w:pPr>
    </w:p>
    <w:sectPr w:rsidR="00906F7A" w:rsidRPr="00906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602E"/>
    <w:multiLevelType w:val="multilevel"/>
    <w:tmpl w:val="3CE4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48B"/>
    <w:multiLevelType w:val="multilevel"/>
    <w:tmpl w:val="644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136FC"/>
    <w:multiLevelType w:val="multilevel"/>
    <w:tmpl w:val="6342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C3AFA"/>
    <w:multiLevelType w:val="multilevel"/>
    <w:tmpl w:val="7932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B553C"/>
    <w:multiLevelType w:val="multilevel"/>
    <w:tmpl w:val="682E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D6541"/>
    <w:multiLevelType w:val="multilevel"/>
    <w:tmpl w:val="5FC2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F390C"/>
    <w:multiLevelType w:val="multilevel"/>
    <w:tmpl w:val="A110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3102B"/>
    <w:multiLevelType w:val="multilevel"/>
    <w:tmpl w:val="D71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11EF3"/>
    <w:multiLevelType w:val="multilevel"/>
    <w:tmpl w:val="EB40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56569"/>
    <w:multiLevelType w:val="multilevel"/>
    <w:tmpl w:val="7806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1B70"/>
    <w:multiLevelType w:val="multilevel"/>
    <w:tmpl w:val="9646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C14E5"/>
    <w:multiLevelType w:val="multilevel"/>
    <w:tmpl w:val="83E0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C20233"/>
    <w:multiLevelType w:val="multilevel"/>
    <w:tmpl w:val="023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DE4702"/>
    <w:multiLevelType w:val="multilevel"/>
    <w:tmpl w:val="AFD4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AD4A37"/>
    <w:multiLevelType w:val="multilevel"/>
    <w:tmpl w:val="DED6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F02218"/>
    <w:multiLevelType w:val="multilevel"/>
    <w:tmpl w:val="30D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10"/>
  </w:num>
  <w:num w:numId="5">
    <w:abstractNumId w:val="2"/>
  </w:num>
  <w:num w:numId="6">
    <w:abstractNumId w:val="14"/>
  </w:num>
  <w:num w:numId="7">
    <w:abstractNumId w:val="8"/>
  </w:num>
  <w:num w:numId="8">
    <w:abstractNumId w:val="0"/>
  </w:num>
  <w:num w:numId="9">
    <w:abstractNumId w:val="13"/>
  </w:num>
  <w:num w:numId="10">
    <w:abstractNumId w:val="4"/>
  </w:num>
  <w:num w:numId="11">
    <w:abstractNumId w:val="1"/>
  </w:num>
  <w:num w:numId="12">
    <w:abstractNumId w:val="11"/>
  </w:num>
  <w:num w:numId="13">
    <w:abstractNumId w:val="15"/>
  </w:num>
  <w:num w:numId="14">
    <w:abstractNumId w:val="6"/>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83"/>
    <w:rsid w:val="0003500E"/>
    <w:rsid w:val="003C50A1"/>
    <w:rsid w:val="003F6DEF"/>
    <w:rsid w:val="0041256B"/>
    <w:rsid w:val="00606A9E"/>
    <w:rsid w:val="00685C83"/>
    <w:rsid w:val="00695B97"/>
    <w:rsid w:val="008E0100"/>
    <w:rsid w:val="00906F7A"/>
    <w:rsid w:val="0091420F"/>
    <w:rsid w:val="00975288"/>
    <w:rsid w:val="00DA4FAC"/>
    <w:rsid w:val="00F35F28"/>
    <w:rsid w:val="00FD2CA6"/>
    <w:rsid w:val="00FD3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06D4"/>
  <w15:chartTrackingRefBased/>
  <w15:docId w15:val="{816984AC-4408-4AA0-87A9-7EE306F1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C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C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C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C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C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C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C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C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C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C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C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C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C83"/>
    <w:rPr>
      <w:rFonts w:eastAsiaTheme="majorEastAsia" w:cstheme="majorBidi"/>
      <w:color w:val="272727" w:themeColor="text1" w:themeTint="D8"/>
    </w:rPr>
  </w:style>
  <w:style w:type="paragraph" w:styleId="Title">
    <w:name w:val="Title"/>
    <w:basedOn w:val="Normal"/>
    <w:next w:val="Normal"/>
    <w:link w:val="TitleChar"/>
    <w:uiPriority w:val="10"/>
    <w:qFormat/>
    <w:rsid w:val="00685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C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C83"/>
    <w:pPr>
      <w:spacing w:before="160"/>
      <w:jc w:val="center"/>
    </w:pPr>
    <w:rPr>
      <w:i/>
      <w:iCs/>
      <w:color w:val="404040" w:themeColor="text1" w:themeTint="BF"/>
    </w:rPr>
  </w:style>
  <w:style w:type="character" w:customStyle="1" w:styleId="QuoteChar">
    <w:name w:val="Quote Char"/>
    <w:basedOn w:val="DefaultParagraphFont"/>
    <w:link w:val="Quote"/>
    <w:uiPriority w:val="29"/>
    <w:rsid w:val="00685C83"/>
    <w:rPr>
      <w:i/>
      <w:iCs/>
      <w:color w:val="404040" w:themeColor="text1" w:themeTint="BF"/>
    </w:rPr>
  </w:style>
  <w:style w:type="paragraph" w:styleId="ListParagraph">
    <w:name w:val="List Paragraph"/>
    <w:basedOn w:val="Normal"/>
    <w:uiPriority w:val="34"/>
    <w:qFormat/>
    <w:rsid w:val="00685C83"/>
    <w:pPr>
      <w:ind w:left="720"/>
      <w:contextualSpacing/>
    </w:pPr>
  </w:style>
  <w:style w:type="character" w:styleId="IntenseEmphasis">
    <w:name w:val="Intense Emphasis"/>
    <w:basedOn w:val="DefaultParagraphFont"/>
    <w:uiPriority w:val="21"/>
    <w:qFormat/>
    <w:rsid w:val="00685C83"/>
    <w:rPr>
      <w:i/>
      <w:iCs/>
      <w:color w:val="0F4761" w:themeColor="accent1" w:themeShade="BF"/>
    </w:rPr>
  </w:style>
  <w:style w:type="paragraph" w:styleId="IntenseQuote">
    <w:name w:val="Intense Quote"/>
    <w:basedOn w:val="Normal"/>
    <w:next w:val="Normal"/>
    <w:link w:val="IntenseQuoteChar"/>
    <w:uiPriority w:val="30"/>
    <w:qFormat/>
    <w:rsid w:val="00685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C83"/>
    <w:rPr>
      <w:i/>
      <w:iCs/>
      <w:color w:val="0F4761" w:themeColor="accent1" w:themeShade="BF"/>
    </w:rPr>
  </w:style>
  <w:style w:type="character" w:styleId="IntenseReference">
    <w:name w:val="Intense Reference"/>
    <w:basedOn w:val="DefaultParagraphFont"/>
    <w:uiPriority w:val="32"/>
    <w:qFormat/>
    <w:rsid w:val="00685C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959141">
      <w:bodyDiv w:val="1"/>
      <w:marLeft w:val="0"/>
      <w:marRight w:val="0"/>
      <w:marTop w:val="0"/>
      <w:marBottom w:val="0"/>
      <w:divBdr>
        <w:top w:val="none" w:sz="0" w:space="0" w:color="auto"/>
        <w:left w:val="none" w:sz="0" w:space="0" w:color="auto"/>
        <w:bottom w:val="none" w:sz="0" w:space="0" w:color="auto"/>
        <w:right w:val="none" w:sz="0" w:space="0" w:color="auto"/>
      </w:divBdr>
    </w:div>
    <w:div w:id="1517769145">
      <w:bodyDiv w:val="1"/>
      <w:marLeft w:val="0"/>
      <w:marRight w:val="0"/>
      <w:marTop w:val="0"/>
      <w:marBottom w:val="0"/>
      <w:divBdr>
        <w:top w:val="none" w:sz="0" w:space="0" w:color="auto"/>
        <w:left w:val="none" w:sz="0" w:space="0" w:color="auto"/>
        <w:bottom w:val="none" w:sz="0" w:space="0" w:color="auto"/>
        <w:right w:val="none" w:sz="0" w:space="0" w:color="auto"/>
      </w:divBdr>
    </w:div>
    <w:div w:id="1801726434">
      <w:bodyDiv w:val="1"/>
      <w:marLeft w:val="0"/>
      <w:marRight w:val="0"/>
      <w:marTop w:val="0"/>
      <w:marBottom w:val="0"/>
      <w:divBdr>
        <w:top w:val="none" w:sz="0" w:space="0" w:color="auto"/>
        <w:left w:val="none" w:sz="0" w:space="0" w:color="auto"/>
        <w:bottom w:val="none" w:sz="0" w:space="0" w:color="auto"/>
        <w:right w:val="none" w:sz="0" w:space="0" w:color="auto"/>
      </w:divBdr>
    </w:div>
    <w:div w:id="1847400244">
      <w:bodyDiv w:val="1"/>
      <w:marLeft w:val="0"/>
      <w:marRight w:val="0"/>
      <w:marTop w:val="0"/>
      <w:marBottom w:val="0"/>
      <w:divBdr>
        <w:top w:val="none" w:sz="0" w:space="0" w:color="auto"/>
        <w:left w:val="none" w:sz="0" w:space="0" w:color="auto"/>
        <w:bottom w:val="none" w:sz="0" w:space="0" w:color="auto"/>
        <w:right w:val="none" w:sz="0" w:space="0" w:color="auto"/>
      </w:divBdr>
    </w:div>
    <w:div w:id="18776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Margarita</cp:lastModifiedBy>
  <cp:revision>11</cp:revision>
  <dcterms:created xsi:type="dcterms:W3CDTF">2025-05-22T14:24:00Z</dcterms:created>
  <dcterms:modified xsi:type="dcterms:W3CDTF">2025-05-23T18:34:00Z</dcterms:modified>
</cp:coreProperties>
</file>