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i/>
          <w:iCs/>
          <w:sz w:val="20"/>
          <w:szCs w:val="20"/>
        </w:rPr>
        <w:t xml:space="preserve">Oʻzbekiston Respublikasi Vazirlar Mahkamasining 2023-yil 3-oktabrdagi 578-son qarori 4-ilovasiga asosan</w:t>
      </w:r>
    </w:p>
    <w:p>
      <w:pPr>
        <w:spacing w:after="300"/>
        <w:jc w:val="center"/>
      </w:pPr>
      <w:r>
        <w:rPr>
          <w:rFonts w:ascii="Times New Roman" w:cs="Times New Roman" w:eastAsia="Times New Roman" w:hAnsi="Times New Roman"/>
          <w:b/>
          <w:bCs/>
          <w:sz w:val="28"/>
          <w:szCs w:val="28"/>
        </w:rPr>
        <w:t xml:space="preserve">TALABALARNI AKADEMIK MOBILLIK ASOSIDA TAHSIL OLISHINI TASHKIL ETISH TARTIBI</w:t>
      </w:r>
    </w:p>
    <w:p>
      <w:pPr>
        <w:pStyle w:val="Heading1"/>
        <w:spacing w:after="120" w:before="240"/>
      </w:pPr>
      <w:r>
        <w:rPr>
          <w:rFonts w:ascii="Times New Roman" w:cs="Times New Roman" w:eastAsia="Times New Roman" w:hAnsi="Times New Roman"/>
          <w:b/>
          <w:bCs/>
          <w:sz w:val="26"/>
          <w:szCs w:val="26"/>
        </w:rPr>
        <w:t xml:space="preserve">1. Umumiy qoidalar</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Mazkur Tartib Oʻzbekiston Respublikasi Vazirlar Mahkamasining 2023-yil 3-oktabrdagi “Oliy taʼlim tashkilotlarida talabalar va professor-oʻqituvchilarning akademik mobilligini yanada rivojlantirish chora-tadbirlari toʻgʻrisida”gi 578-son qarori (keyingi oʻrinlarda — 578-son qaror) hamda uning 4-ilovasida tasdiqlangan Nizom talablariga asosan ishlab chiqilgan boʻlib, oliy taʼlim tashkiloti (keyingi oʻrinlarda — OTT) talabalarining ichki va tashqi akademik mobillik dasturida ishtirok etishini tashkil etish tartibini belgilaydi.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Akademik mobillik — talabaning belgilangan tartibda oʻzi tahsil olayotgan OTTdan boshqa (hamkor) OTTga muayyan bir yoki ikki semestr davomida oʻqish maqsadida vaqtincha koʻchishi boʻlib, u yerda oʻzlashtirilgan fanlar va toʻplangan kreditlar OTT oʻrtasidagi oʻzaro kelishuv shartnomasi asosida tan olinadi.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Ushbu Tartibda qoʻllaniladigan asosiy tushunchalar 578-son qarorga ilova qilingan Nizomda belgilangan maʼnoda ishlatiladi.</w:t>
      </w:r>
    </w:p>
    <w:p>
      <w:pPr>
        <w:pStyle w:val="Heading1"/>
        <w:spacing w:after="120" w:before="240"/>
      </w:pPr>
      <w:r>
        <w:rPr>
          <w:rFonts w:ascii="Times New Roman" w:cs="Times New Roman" w:eastAsia="Times New Roman" w:hAnsi="Times New Roman"/>
          <w:b/>
          <w:bCs/>
          <w:sz w:val="26"/>
          <w:szCs w:val="26"/>
        </w:rPr>
        <w:t xml:space="preserve">2. Hujjatlarni qabul qilish muddatlari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Talabalardan akademik mobillikda ishtirok etish uchun hujjatlarni qabul qilish semestrlar boʻyicha quyidagi aniq muddatlarda amalga oshiriladi:</w:t>
      </w:r>
    </w:p>
    <w:tbl>
      <w:tblPr>
        <w:tblW w:type="dxa" w:w="9639"/>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39"/>
      </w:tblGrid>
      <w:tr>
        <w:trPr>
          <w:tblHeader/>
        </w:trPr>
        <w:tc>
          <w:tcPr>
            <w:tcW w:type="dxa" w:w="3200"/>
            <w:shd w:fill="D9E2F3" w:val="clear"/>
            <w:tcMar>
              <w:top w:type="dxa" w:w="100"/>
              <w:left w:type="dxa" w:w="100"/>
              <w:bottom w:type="dxa" w:w="100"/>
              <w:right w:type="dxa" w:w="100"/>
            </w:tcMar>
            <w:vAlign w:val="center"/>
          </w:tcPr>
          <w:p>
            <w:pPr>
              <w:jc w:val="center"/>
            </w:pPr>
            <w:r>
              <w:rPr>
                <w:rFonts w:ascii="Times New Roman" w:cs="Times New Roman" w:eastAsia="Times New Roman" w:hAnsi="Times New Roman"/>
                <w:b/>
                <w:bCs/>
                <w:sz w:val="22"/>
                <w:szCs w:val="22"/>
              </w:rPr>
              <w:t xml:space="preserve">Semestr</w:t>
            </w:r>
          </w:p>
        </w:tc>
        <w:tc>
          <w:tcPr>
            <w:tcW w:type="dxa" w:w="3200"/>
            <w:shd w:fill="D9E2F3" w:val="clear"/>
            <w:tcMar>
              <w:top w:type="dxa" w:w="100"/>
              <w:left w:type="dxa" w:w="100"/>
              <w:bottom w:type="dxa" w:w="100"/>
              <w:right w:type="dxa" w:w="100"/>
            </w:tcMar>
            <w:vAlign w:val="center"/>
          </w:tcPr>
          <w:p>
            <w:pPr>
              <w:jc w:val="center"/>
            </w:pPr>
            <w:r>
              <w:rPr>
                <w:rFonts w:ascii="Times New Roman" w:cs="Times New Roman" w:eastAsia="Times New Roman" w:hAnsi="Times New Roman"/>
                <w:b/>
                <w:bCs/>
                <w:sz w:val="22"/>
                <w:szCs w:val="22"/>
              </w:rPr>
              <w:t xml:space="preserve">Hujjatlar qabul qilinadigan muddat</w:t>
            </w:r>
          </w:p>
        </w:tc>
        <w:tc>
          <w:tcPr>
            <w:tcW w:type="dxa" w:w="3239"/>
            <w:shd w:fill="D9E2F3" w:val="clear"/>
            <w:tcMar>
              <w:top w:type="dxa" w:w="100"/>
              <w:left w:type="dxa" w:w="100"/>
              <w:bottom w:type="dxa" w:w="100"/>
              <w:right w:type="dxa" w:w="100"/>
            </w:tcMar>
            <w:vAlign w:val="center"/>
          </w:tcPr>
          <w:p>
            <w:pPr>
              <w:jc w:val="center"/>
            </w:pPr>
            <w:r>
              <w:rPr>
                <w:rFonts w:ascii="Times New Roman" w:cs="Times New Roman" w:eastAsia="Times New Roman" w:hAnsi="Times New Roman"/>
                <w:b/>
                <w:bCs/>
                <w:sz w:val="22"/>
                <w:szCs w:val="22"/>
              </w:rPr>
              <w:t xml:space="preserve">Izoh</w:t>
            </w:r>
          </w:p>
        </w:tc>
      </w:tr>
      <w:tr>
        <w:tc>
          <w:tcPr>
            <w:tcW w:type="dxa" w:w="3200"/>
            <w:tcMar>
              <w:top w:type="dxa" w:w="100"/>
              <w:left w:type="dxa" w:w="100"/>
              <w:bottom w:type="dxa" w:w="100"/>
              <w:right w:type="dxa" w:w="100"/>
            </w:tcMar>
            <w:vAlign w:val="center"/>
          </w:tcPr>
          <w:p>
            <w:pPr>
              <w:jc w:val="left"/>
            </w:pPr>
            <w:r>
              <w:rPr>
                <w:rFonts w:ascii="Times New Roman" w:cs="Times New Roman" w:eastAsia="Times New Roman" w:hAnsi="Times New Roman"/>
                <w:b w:val="false"/>
                <w:bCs w:val="false"/>
                <w:sz w:val="22"/>
                <w:szCs w:val="22"/>
              </w:rPr>
              <w:t xml:space="preserve">Kuzgi semestr</w:t>
            </w:r>
          </w:p>
        </w:tc>
        <w:tc>
          <w:tcPr>
            <w:tcW w:type="dxa" w:w="3200"/>
            <w:tcMar>
              <w:top w:type="dxa" w:w="100"/>
              <w:left w:type="dxa" w:w="100"/>
              <w:bottom w:type="dxa" w:w="100"/>
              <w:right w:type="dxa" w:w="100"/>
            </w:tcMar>
            <w:vAlign w:val="center"/>
          </w:tcPr>
          <w:p>
            <w:pPr>
              <w:jc w:val="center"/>
            </w:pPr>
            <w:r>
              <w:rPr>
                <w:rFonts w:ascii="Times New Roman" w:cs="Times New Roman" w:eastAsia="Times New Roman" w:hAnsi="Times New Roman"/>
                <w:b w:val="false"/>
                <w:bCs w:val="false"/>
                <w:sz w:val="22"/>
                <w:szCs w:val="22"/>
              </w:rPr>
              <w:t xml:space="preserve">2-sentabrdan 30-sentabrgacha</w:t>
            </w:r>
          </w:p>
        </w:tc>
        <w:tc>
          <w:tcPr>
            <w:tcW w:type="dxa" w:w="3239"/>
            <w:tcMar>
              <w:top w:type="dxa" w:w="100"/>
              <w:left w:type="dxa" w:w="100"/>
              <w:bottom w:type="dxa" w:w="100"/>
              <w:right w:type="dxa" w:w="100"/>
            </w:tcMar>
            <w:vAlign w:val="center"/>
          </w:tcPr>
          <w:p>
            <w:pPr>
              <w:jc w:val="left"/>
            </w:pPr>
            <w:r>
              <w:rPr>
                <w:rFonts w:ascii="Times New Roman" w:cs="Times New Roman" w:eastAsia="Times New Roman" w:hAnsi="Times New Roman"/>
                <w:b w:val="false"/>
                <w:bCs w:val="false"/>
                <w:sz w:val="22"/>
                <w:szCs w:val="22"/>
              </w:rPr>
              <w:t xml:space="preserve">Muddat oʻquv yili boshlanishi bilan bogʻliq holda belgilangan</w:t>
            </w:r>
          </w:p>
        </w:tc>
      </w:tr>
      <w:tr>
        <w:tc>
          <w:tcPr>
            <w:tcW w:type="dxa" w:w="3200"/>
            <w:tcMar>
              <w:top w:type="dxa" w:w="100"/>
              <w:left w:type="dxa" w:w="100"/>
              <w:bottom w:type="dxa" w:w="100"/>
              <w:right w:type="dxa" w:w="100"/>
            </w:tcMar>
            <w:vAlign w:val="center"/>
          </w:tcPr>
          <w:p>
            <w:pPr>
              <w:jc w:val="left"/>
            </w:pPr>
            <w:r>
              <w:rPr>
                <w:rFonts w:ascii="Times New Roman" w:cs="Times New Roman" w:eastAsia="Times New Roman" w:hAnsi="Times New Roman"/>
                <w:b w:val="false"/>
                <w:bCs w:val="false"/>
                <w:sz w:val="22"/>
                <w:szCs w:val="22"/>
              </w:rPr>
              <w:t xml:space="preserve">Bahorgi semestr</w:t>
            </w:r>
          </w:p>
        </w:tc>
        <w:tc>
          <w:tcPr>
            <w:tcW w:type="dxa" w:w="3200"/>
            <w:tcMar>
              <w:top w:type="dxa" w:w="100"/>
              <w:left w:type="dxa" w:w="100"/>
              <w:bottom w:type="dxa" w:w="100"/>
              <w:right w:type="dxa" w:w="100"/>
            </w:tcMar>
            <w:vAlign w:val="center"/>
          </w:tcPr>
          <w:p>
            <w:pPr>
              <w:jc w:val="center"/>
            </w:pPr>
            <w:r>
              <w:rPr>
                <w:rFonts w:ascii="Times New Roman" w:cs="Times New Roman" w:eastAsia="Times New Roman" w:hAnsi="Times New Roman"/>
                <w:b w:val="false"/>
                <w:bCs w:val="false"/>
                <w:sz w:val="22"/>
                <w:szCs w:val="22"/>
              </w:rPr>
              <w:t xml:space="preserve">1-fevraldan fevral oyi yakunigacha</w:t>
            </w:r>
          </w:p>
        </w:tc>
        <w:tc>
          <w:tcPr>
            <w:tcW w:type="dxa" w:w="3239"/>
            <w:tcMar>
              <w:top w:type="dxa" w:w="100"/>
              <w:left w:type="dxa" w:w="100"/>
              <w:bottom w:type="dxa" w:w="100"/>
              <w:right w:type="dxa" w:w="100"/>
            </w:tcMar>
            <w:vAlign w:val="center"/>
          </w:tcPr>
          <w:p>
            <w:pPr>
              <w:jc w:val="left"/>
            </w:pPr>
            <w:r>
              <w:rPr>
                <w:rFonts w:ascii="Times New Roman" w:cs="Times New Roman" w:eastAsia="Times New Roman" w:hAnsi="Times New Roman"/>
                <w:b w:val="false"/>
                <w:bCs w:val="false"/>
                <w:sz w:val="22"/>
                <w:szCs w:val="22"/>
              </w:rPr>
              <w:t xml:space="preserve">Muddat bahorgi semestr boshlanishi bilan bogʻliq holda belgilangan</w:t>
            </w:r>
          </w:p>
        </w:tc>
      </w:tr>
    </w:tbl>
    <w:p>
      <w:pPr>
        <w:spacing w:after="200"/>
      </w:pPr>
    </w:p>
    <w:p>
      <w:pPr>
        <w:pStyle w:val="ListParagraph"/>
        <w:numPr>
          <w:ilvl w:val="0"/>
          <w:numId w:val="2"/>
        </w:numPr>
        <w:spacing w:after="140" w:line="300"/>
        <w:jc w:val="both"/>
      </w:pPr>
      <w:r>
        <w:rPr>
          <w:rFonts w:ascii="Times New Roman" w:cs="Times New Roman" w:eastAsia="Times New Roman" w:hAnsi="Times New Roman"/>
          <w:sz w:val="24"/>
          <w:szCs w:val="24"/>
        </w:rPr>
        <w:t xml:space="preserve">Koʻrsatilgan muddatlardan keyin kelib tushgan hujjatlar koʻrib chiqilmaydi, bundan xorijiy hamkor OTT bilan tuzilgan shartnomada boshqacha tartib nazarda tutilgan hollar mustasno.</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OTT tegishli tarkibiy boʻlinmasi hujjatlarni qabul qilish jarayonini shaffof va ochiq tashkil etishi, muddatlar toʻgʻrisidagi axborotni OTT rasmiy veb-sayti va axborot taxtalarida oldindan eʼlon qilishi shart.</w:t>
      </w:r>
    </w:p>
    <w:p>
      <w:pPr>
        <w:pStyle w:val="Heading1"/>
        <w:spacing w:after="120" w:before="240"/>
      </w:pPr>
      <w:r>
        <w:rPr>
          <w:rFonts w:ascii="Times New Roman" w:cs="Times New Roman" w:eastAsia="Times New Roman" w:hAnsi="Times New Roman"/>
          <w:b/>
          <w:bCs/>
          <w:sz w:val="26"/>
          <w:szCs w:val="26"/>
        </w:rPr>
        <w:t xml:space="preserve">3. Akademik mobillikda ishtirok etishga qoʻyiladigan cheklovlar</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578-son qarorga ilova qilingan Nizomga muvofiq, quyidagi toifadagi talabalar akademik mobillik dasturida ishtirok eta olmaydi:</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birinchi kurs talabalari — birinchi semestrda;</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bitiruvchi kurs talabalari — soʻnggi semestrda;</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kursdan-kursga qoldirilgan (akademik qarzdorligi boʻlgan) talaba — oʻzi soʻnggi bor tahsil olgan semestridan keyingi semestrda.</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Yuqorida sanab oʻtilgan cheklovlarga rioya etilishini taʼminlash maqsadida OTT qabul komissiyasi hujjatlarni koʻrib chiqishda talabaning kurs, semestr va akademik holati (qarzdorlik mavjudligi)ni oʻquv boʻlimi maʼlumotlari asosida tekshiradi.</w:t>
      </w:r>
    </w:p>
    <w:p>
      <w:pPr>
        <w:pStyle w:val="Heading1"/>
        <w:spacing w:after="120" w:before="240"/>
      </w:pPr>
      <w:r>
        <w:rPr>
          <w:rFonts w:ascii="Times New Roman" w:cs="Times New Roman" w:eastAsia="Times New Roman" w:hAnsi="Times New Roman"/>
          <w:b/>
          <w:bCs/>
          <w:sz w:val="26"/>
          <w:szCs w:val="26"/>
        </w:rPr>
        <w:t xml:space="preserve">4. Moliyaviy masalalar. Kontrakt toʻlovini oldindan amalga oshirish tartibi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578-son qarorga ilova qilingan Nizomga muvofiq, akademik mobillikda ishtirok etayotgan talabalarning kontrakt, stipendiya toʻlovlari va boshqa xarajatlarni moliyalashtirish OTT oʻrtasida imzolangan oʻzaro kelishuv shartnomasida belgilangan shartlarga muvofiq amalga oshiriladi.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Akademik mobillik asosida boshqa OTTga tahsil olish uchun yuboriladigan talaba akademik mobillikni rasmiylashtirishdan oldin quyidagi tartibda kontrakt toʻlovini oldindan toʻliq amalga oshiradi:</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agar akademik mobillik muddati bir semestr (yarim yillik) qilib belgilangan boʻlsa — tegishli bitta semestr uchun kontrakt toʻlovi toʻliq amalga oshiriladi;</w:t>
      </w:r>
    </w:p>
    <w:p>
      <w:pPr>
        <w:pStyle w:val="ListParagraph"/>
        <w:numPr>
          <w:ilvl w:val="0"/>
          <w:numId w:val="3"/>
        </w:numPr>
        <w:spacing w:after="120" w:line="300"/>
        <w:jc w:val="both"/>
      </w:pPr>
      <w:r>
        <w:rPr>
          <w:rFonts w:ascii="Times New Roman" w:cs="Times New Roman" w:eastAsia="Times New Roman" w:hAnsi="Times New Roman"/>
          <w:sz w:val="24"/>
          <w:szCs w:val="24"/>
        </w:rPr>
        <w:t xml:space="preserve">agar akademik mobillik muddati ikki semestr qilib belgilangan boʻlsa — tegishli ikkala semestr uchun kontrakt toʻlovi toʻliq amalga oshiriladi.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Kontrakt toʻlovi amalga oshirilganligini tasdiqlovchi hujjat (toʻlov kvitansiyasi/bank koʻchirmasi) talabaning akademik mobillikni rasmiylashtirish uchun taqdim etadigan hujjatlar roʻyxatiga majburiy tartibda kiritiladi va bu hujjatsiz akademik mobillik rasmiylashtirilmaydi.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Kontrakt toʻlovlari, stipendiya va boshqa xarajatlarni taqsimlash tartibi, shu jumladan mablagʻlarning yuboruvchi va qabul qiluvchi OTT oʻrtasida oʻzaro hisob-kitob qilinishi, taraflar oʻrtasidagi kelishuv shartnomasida aniq belgilanadi.</w:t>
      </w:r>
    </w:p>
    <w:p>
      <w:pPr>
        <w:pStyle w:val="Heading1"/>
        <w:spacing w:after="120" w:before="240"/>
      </w:pPr>
      <w:r>
        <w:rPr>
          <w:rFonts w:ascii="Times New Roman" w:cs="Times New Roman" w:eastAsia="Times New Roman" w:hAnsi="Times New Roman"/>
          <w:b/>
          <w:bCs/>
          <w:sz w:val="26"/>
          <w:szCs w:val="26"/>
        </w:rPr>
        <w:t xml:space="preserve">5. Akademik mobillikning muddati va takroriy ishtirok etish</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578-son qarorga ilova qilingan Nizomga muvofiq, akademik mobillikni amalga oshirish muddati OTT oʻrtasidagi oʻzaro kelishuv shartnomasiga asosan kamida bir semestr, koʻpi bilan ikki semestrni tashkil etadi. Xorijiy hamkor OTT bilan tuzilgan shartnomaga muvofiq, istisno tariqasida ushbu muddatga oʻzgartirish kiritilishi mumkin.</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Talaba akademik mobillikda OTT oʻrtasidagi qoʻshimcha shartnomalarga muvofiq ikkinchi marta ishtirok etishi mumkin.</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Talabaning bir akademik davr (oʻquv yili) mobaynida akademik mobillikdan foydalanish sonini aniq belgilash hamda takroriy ishtirok etish imkoniyatlarini tartibga solish maqsadida quyidagi qoida joriy etiladi: </w:t>
      </w:r>
      <w:r>
        <w:rPr>
          <w:rFonts w:ascii="Times New Roman" w:cs="Times New Roman" w:eastAsia="Times New Roman" w:hAnsi="Times New Roman"/>
          <w:b/>
          <w:bCs/>
          <w:sz w:val="24"/>
          <w:szCs w:val="24"/>
        </w:rPr>
        <w:t xml:space="preserve">bitta akademik davr (oʻquv yili) mobaynida talabaga akademik mobillikda ishtirok etish imkoniyati ikki martadan koʻp berilmaydi.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Ushbu bandda belgilangan cheklov talabaning umumiy oʻqish davri mobaynida 578-son qaror Nizomida nazarda tutilgan ikki marotaba ishtirok etish huquqini bekor qilmaydi, balki bitta oʻquv yili doirasida ishtirok etish sonini tartibga soladi.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Takroriy ishtirok etish uchun ariza va hujjatlar ushbu Tartibning 2-boʻlimida koʻrsatilgan umumiy muddatlarda, oldingi akademik mobillik davri yakunlangan va hisobot topshirilgandan keyin qabul qilinadi.</w:t>
      </w:r>
    </w:p>
    <w:p>
      <w:pPr>
        <w:pStyle w:val="Heading1"/>
        <w:spacing w:after="120" w:before="240"/>
      </w:pPr>
      <w:r>
        <w:rPr>
          <w:rFonts w:ascii="Times New Roman" w:cs="Times New Roman" w:eastAsia="Times New Roman" w:hAnsi="Times New Roman"/>
          <w:b/>
          <w:bCs/>
          <w:sz w:val="26"/>
          <w:szCs w:val="26"/>
        </w:rPr>
        <w:t xml:space="preserve">6. Yakuniy qoidalar</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Ushbu Tartibda nazarda tutilmagan masalalar 578-son qaror va unga ilova qilingan Nizom, shuningdek OTT oʻrtasidagi oʻzaro kelishuv shartnomalari asosida hal etiladi.</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Ushbu Tartibga OTT ilmiy kengashi qarori asosida oʻzgartirish va qoʻshimchalar kiritilishi mumkin.</w:t>
      </w:r>
    </w:p>
    <w:p>
      <w:pPr>
        <w:pStyle w:val="ListParagraph"/>
        <w:numPr>
          <w:ilvl w:val="0"/>
          <w:numId w:val="2"/>
        </w:numPr>
        <w:spacing w:after="140" w:line="300"/>
        <w:jc w:val="both"/>
      </w:pPr>
      <w:r>
        <w:rPr>
          <w:rFonts w:ascii="Times New Roman" w:cs="Times New Roman" w:eastAsia="Times New Roman" w:hAnsi="Times New Roman"/>
          <w:sz w:val="24"/>
          <w:szCs w:val="24"/>
        </w:rPr>
        <w:t xml:space="preserve">Tartibning bajarilishini nazorat qilish OTT rektori (yoki tegishli prorektori) zimmasiga yuklatiladi.</w:t>
      </w:r>
    </w:p>
    <w:sectPr>
      <w:pgSz w:w="11907" w:h="16840"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76" w:hanging="360"/>
      </w:pPr>
    </w:lvl>
  </w:abstractNum>
  <w:abstractNum w:abstractNumId="3" w15:restartNumberingAfterBreak="0">
    <w:multiLevelType w:val="hybridMultilevel"/>
    <w:lvl w:ilvl="0" w15:tentative="1">
      <w:start w:val="1"/>
      <w:numFmt w:val="lowerLetter"/>
      <w:lvlText w:val="%1)"/>
      <w:lvlJc w:val="start"/>
      <w:pPr>
        <w:ind w:left="863" w:hanging="360"/>
      </w:pPr>
    </w:lvl>
  </w:abstractNum>
  <w:abstractNum w:abstractNumId="4" w15:restartNumberingAfterBreak="0">
    <w:multiLevelType w:val="hybridMultilevel"/>
    <w:lvl w:ilvl="0" w15:tentative="1">
      <w:start w:val="1"/>
      <w:numFmt w:val="bullet"/>
      <w:lvlText w:val="—"/>
      <w:lvlJc w:val="start"/>
      <w:pPr>
        <w:ind w:left="720" w:hanging="288"/>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2026-08-18T03:44:11.165Z</dcterms:created>
  <dcterms:modified xsi:type="dcterms:W3CDTF">2026-08-18T03:44:11.179Z</dcterms:modified>
</cp:coreProperties>
</file>

<file path=docProps/custom.xml><?xml version="1.0" encoding="utf-8"?>
<Properties xmlns="http://schemas.openxmlformats.org/officeDocument/2006/custom-properties" xmlns:vt="http://schemas.openxmlformats.org/officeDocument/2006/docPropsVTypes"/>
</file>